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3E13" w:rsidRDefault="00D23E13" w:rsidP="00D23E13">
      <w:pPr>
        <w:jc w:val="center"/>
      </w:pPr>
      <w:r w:rsidRPr="00D23E13">
        <w:t xml:space="preserve">2022 - 2023 INSTRUCTIONAL PRIORITIES </w:t>
      </w:r>
    </w:p>
    <w:p w:rsidR="00D23E13" w:rsidRPr="00D23E13" w:rsidRDefault="00D23E13" w:rsidP="00D23E13">
      <w:r w:rsidRPr="00D23E13">
        <w:rPr>
          <w:rFonts w:eastAsia="Times New Roman"/>
          <w:color w:val="1E2D3B"/>
        </w:rPr>
        <w:t>The following specific instructional priorities were developed by the Instructional Priorities Taskforce of the Academic Affairs committee in June of 2022. The specific priorities were established with the understanding that the following overarching priorities will guide the implementation of the specifics: Pandemic Recovery, Equitable Classroom Practice through the principles established by the Guided Pathways Framework, and that all decisions be informed by relevant data.</w:t>
      </w:r>
    </w:p>
    <w:p w:rsidR="00D23E13" w:rsidRPr="00D23E13" w:rsidRDefault="00D23E13" w:rsidP="00D23E13">
      <w:pPr>
        <w:spacing w:beforeAutospacing="1" w:afterAutospacing="1"/>
        <w:rPr>
          <w:rFonts w:eastAsia="Times New Roman"/>
          <w:color w:val="1E2D3B"/>
          <w:u w:val="single"/>
        </w:rPr>
      </w:pPr>
      <w:r w:rsidRPr="00D23E13">
        <w:rPr>
          <w:rFonts w:eastAsia="Times New Roman"/>
          <w:color w:val="1E2D3B"/>
          <w:u w:val="single"/>
        </w:rPr>
        <w:t>Enrollment Management:</w:t>
      </w:r>
      <w:r w:rsidRPr="00D23E13">
        <w:rPr>
          <w:rFonts w:eastAsia="Times New Roman"/>
          <w:color w:val="1E2D3B"/>
        </w:rPr>
        <w:t xml:space="preserve"> Providing opportunity and access for students to classes and programs that allow them to progress effectively toward their stated educational goals. </w:t>
      </w:r>
    </w:p>
    <w:p w:rsidR="00D23E13" w:rsidRPr="00D23E13" w:rsidRDefault="00D23E13" w:rsidP="00D23E13">
      <w:pPr>
        <w:numPr>
          <w:ilvl w:val="0"/>
          <w:numId w:val="1"/>
        </w:numPr>
        <w:spacing w:before="100" w:beforeAutospacing="1" w:after="100" w:afterAutospacing="1"/>
        <w:rPr>
          <w:rFonts w:eastAsia="Times New Roman"/>
          <w:color w:val="1E2D3B"/>
        </w:rPr>
      </w:pPr>
      <w:r w:rsidRPr="00D23E13">
        <w:rPr>
          <w:rFonts w:eastAsia="Times New Roman"/>
          <w:color w:val="1E2D3B"/>
        </w:rPr>
        <w:t>Clarify pathways to optimize student progress and institutional efficiency as well as improve student understanding of progress and completion.</w:t>
      </w:r>
    </w:p>
    <w:p w:rsidR="00D23E13" w:rsidRPr="00D23E13" w:rsidRDefault="00D23E13" w:rsidP="00D23E13">
      <w:pPr>
        <w:numPr>
          <w:ilvl w:val="1"/>
          <w:numId w:val="1"/>
        </w:numPr>
        <w:spacing w:before="100" w:beforeAutospacing="1" w:after="100" w:afterAutospacing="1"/>
        <w:rPr>
          <w:rFonts w:eastAsia="Times New Roman"/>
          <w:color w:val="1E2D3B"/>
        </w:rPr>
      </w:pPr>
      <w:r w:rsidRPr="00D23E13">
        <w:rPr>
          <w:rFonts w:eastAsia="Times New Roman"/>
          <w:color w:val="1E2D3B"/>
        </w:rPr>
        <w:t>Learning and Professional Pathways</w:t>
      </w:r>
    </w:p>
    <w:p w:rsidR="00D23E13" w:rsidRPr="00D23E13" w:rsidRDefault="00D23E13" w:rsidP="00D23E13">
      <w:pPr>
        <w:numPr>
          <w:ilvl w:val="1"/>
          <w:numId w:val="1"/>
        </w:numPr>
        <w:spacing w:before="100" w:beforeAutospacing="1" w:after="100" w:afterAutospacing="1"/>
        <w:rPr>
          <w:rFonts w:eastAsia="Times New Roman"/>
          <w:color w:val="1E2D3B"/>
        </w:rPr>
      </w:pPr>
      <w:r w:rsidRPr="00D23E13">
        <w:rPr>
          <w:rFonts w:eastAsia="Times New Roman"/>
          <w:color w:val="1E2D3B"/>
        </w:rPr>
        <w:t>Program Mapping</w:t>
      </w:r>
    </w:p>
    <w:p w:rsidR="00D23E13" w:rsidRPr="00D23E13" w:rsidRDefault="00D23E13" w:rsidP="00D23E13">
      <w:pPr>
        <w:numPr>
          <w:ilvl w:val="0"/>
          <w:numId w:val="1"/>
        </w:numPr>
        <w:spacing w:before="100" w:beforeAutospacing="1" w:after="100" w:afterAutospacing="1"/>
        <w:rPr>
          <w:rFonts w:eastAsia="Times New Roman"/>
          <w:color w:val="1E2D3B"/>
        </w:rPr>
      </w:pPr>
      <w:r w:rsidRPr="00D23E13">
        <w:rPr>
          <w:rFonts w:eastAsia="Times New Roman"/>
          <w:color w:val="1E2D3B"/>
        </w:rPr>
        <w:t>Increase enrollment through outreach, marketing, Career and Technical Education program development</w:t>
      </w:r>
    </w:p>
    <w:p w:rsidR="00D23E13" w:rsidRPr="00D23E13" w:rsidRDefault="00D23E13" w:rsidP="00D23E13">
      <w:pPr>
        <w:numPr>
          <w:ilvl w:val="0"/>
          <w:numId w:val="1"/>
        </w:numPr>
        <w:spacing w:before="100" w:beforeAutospacing="1" w:after="100" w:afterAutospacing="1"/>
        <w:rPr>
          <w:rFonts w:eastAsia="Times New Roman"/>
          <w:color w:val="1E2D3B"/>
        </w:rPr>
      </w:pPr>
      <w:r w:rsidRPr="00D23E13">
        <w:rPr>
          <w:rFonts w:eastAsia="Times New Roman"/>
          <w:color w:val="1E2D3B"/>
        </w:rPr>
        <w:t>Balance modes of instruction to support student needs</w:t>
      </w:r>
    </w:p>
    <w:p w:rsidR="00D23E13" w:rsidRPr="00D23E13" w:rsidRDefault="00D23E13" w:rsidP="00D23E13">
      <w:pPr>
        <w:numPr>
          <w:ilvl w:val="0"/>
          <w:numId w:val="1"/>
        </w:numPr>
        <w:spacing w:before="100" w:beforeAutospacing="1" w:after="100" w:afterAutospacing="1"/>
        <w:rPr>
          <w:rFonts w:eastAsia="Times New Roman"/>
          <w:color w:val="1E2D3B"/>
        </w:rPr>
      </w:pPr>
      <w:r w:rsidRPr="00D23E13">
        <w:rPr>
          <w:rFonts w:eastAsia="Times New Roman"/>
          <w:color w:val="1E2D3B"/>
        </w:rPr>
        <w:t>Increase collaboration between credit and noncredit.</w:t>
      </w:r>
    </w:p>
    <w:p w:rsidR="00D23E13" w:rsidRPr="00D23E13" w:rsidRDefault="00D23E13" w:rsidP="00D23E13">
      <w:pPr>
        <w:numPr>
          <w:ilvl w:val="1"/>
          <w:numId w:val="1"/>
        </w:numPr>
        <w:spacing w:before="100" w:beforeAutospacing="1" w:after="100" w:afterAutospacing="1"/>
        <w:rPr>
          <w:rFonts w:eastAsia="Times New Roman"/>
          <w:color w:val="1E2D3B"/>
        </w:rPr>
      </w:pPr>
      <w:r w:rsidRPr="00D23E13">
        <w:rPr>
          <w:rFonts w:eastAsia="Times New Roman"/>
          <w:color w:val="1E2D3B"/>
        </w:rPr>
        <w:t>Student preparation and support</w:t>
      </w:r>
    </w:p>
    <w:p w:rsidR="00D23E13" w:rsidRPr="00D23E13" w:rsidRDefault="00D23E13" w:rsidP="00D23E13">
      <w:pPr>
        <w:numPr>
          <w:ilvl w:val="1"/>
          <w:numId w:val="1"/>
        </w:numPr>
        <w:spacing w:before="100" w:beforeAutospacing="1" w:after="100" w:afterAutospacing="1"/>
        <w:rPr>
          <w:rFonts w:eastAsia="Times New Roman"/>
          <w:color w:val="1E2D3B"/>
        </w:rPr>
      </w:pPr>
      <w:r w:rsidRPr="00D23E13">
        <w:rPr>
          <w:rFonts w:eastAsia="Times New Roman"/>
          <w:color w:val="1E2D3B"/>
        </w:rPr>
        <w:t>Facilitate registration between credit and noncredit</w:t>
      </w:r>
    </w:p>
    <w:p w:rsidR="00D23E13" w:rsidRPr="00D23E13" w:rsidRDefault="00D23E13" w:rsidP="00D23E13">
      <w:pPr>
        <w:spacing w:before="100" w:beforeAutospacing="1" w:after="100" w:afterAutospacing="1"/>
        <w:rPr>
          <w:rFonts w:eastAsia="Times New Roman"/>
          <w:color w:val="1E2D3B"/>
        </w:rPr>
      </w:pPr>
      <w:r w:rsidRPr="00D23E13">
        <w:rPr>
          <w:rFonts w:eastAsia="Times New Roman"/>
          <w:color w:val="1E2D3B"/>
          <w:u w:val="single"/>
        </w:rPr>
        <w:t>Student Support:</w:t>
      </w:r>
      <w:r w:rsidRPr="00D23E13">
        <w:rPr>
          <w:rFonts w:eastAsia="Times New Roman"/>
          <w:color w:val="1E2D3B"/>
        </w:rPr>
        <w:t xml:space="preserve"> Providing relevant and evidence-based support for students’ academic and basic needs to create a culture of care.  </w:t>
      </w:r>
    </w:p>
    <w:p w:rsidR="00D23E13" w:rsidRPr="00D23E13" w:rsidRDefault="00D23E13" w:rsidP="00D23E13">
      <w:pPr>
        <w:pStyle w:val="ListParagraph"/>
        <w:numPr>
          <w:ilvl w:val="0"/>
          <w:numId w:val="2"/>
        </w:numPr>
        <w:spacing w:before="100" w:beforeAutospacing="1" w:after="100" w:afterAutospacing="1"/>
        <w:rPr>
          <w:rFonts w:eastAsia="Times New Roman"/>
          <w:color w:val="1E2D3B"/>
        </w:rPr>
      </w:pPr>
      <w:r w:rsidRPr="00D23E13">
        <w:rPr>
          <w:rFonts w:eastAsia="Times New Roman"/>
          <w:color w:val="1E2D3B"/>
        </w:rPr>
        <w:t>Structure and develop academic support networks to meet the full range of student needs</w:t>
      </w:r>
    </w:p>
    <w:p w:rsidR="00D23E13" w:rsidRPr="00D23E13" w:rsidRDefault="00D23E13" w:rsidP="00D23E13">
      <w:pPr>
        <w:pStyle w:val="ListParagraph"/>
        <w:numPr>
          <w:ilvl w:val="1"/>
          <w:numId w:val="2"/>
        </w:numPr>
        <w:spacing w:before="100" w:beforeAutospacing="1" w:after="100" w:afterAutospacing="1"/>
        <w:rPr>
          <w:rFonts w:eastAsia="Times New Roman"/>
          <w:color w:val="1E2D3B"/>
        </w:rPr>
      </w:pPr>
      <w:r w:rsidRPr="00D23E13">
        <w:rPr>
          <w:rFonts w:eastAsia="Times New Roman"/>
          <w:color w:val="1E2D3B"/>
        </w:rPr>
        <w:t>Tutoring</w:t>
      </w:r>
    </w:p>
    <w:p w:rsidR="00D23E13" w:rsidRPr="00D23E13" w:rsidRDefault="00D23E13" w:rsidP="00D23E13">
      <w:pPr>
        <w:pStyle w:val="ListParagraph"/>
        <w:numPr>
          <w:ilvl w:val="1"/>
          <w:numId w:val="2"/>
        </w:numPr>
        <w:spacing w:before="100" w:beforeAutospacing="1" w:after="100" w:afterAutospacing="1"/>
        <w:rPr>
          <w:rFonts w:eastAsia="Times New Roman"/>
          <w:color w:val="1E2D3B"/>
        </w:rPr>
      </w:pPr>
      <w:r w:rsidRPr="00D23E13">
        <w:rPr>
          <w:rFonts w:eastAsia="Times New Roman"/>
          <w:color w:val="1E2D3B"/>
        </w:rPr>
        <w:t>Co-requisites</w:t>
      </w:r>
    </w:p>
    <w:p w:rsidR="00D23E13" w:rsidRPr="00D23E13" w:rsidRDefault="00D23E13" w:rsidP="00D23E13">
      <w:pPr>
        <w:pStyle w:val="ListParagraph"/>
        <w:numPr>
          <w:ilvl w:val="1"/>
          <w:numId w:val="2"/>
        </w:numPr>
        <w:spacing w:before="100" w:beforeAutospacing="1" w:after="100" w:afterAutospacing="1"/>
        <w:rPr>
          <w:rFonts w:eastAsia="Times New Roman"/>
          <w:color w:val="1E2D3B"/>
        </w:rPr>
      </w:pPr>
      <w:r w:rsidRPr="00D23E13">
        <w:rPr>
          <w:rFonts w:eastAsia="Times New Roman"/>
          <w:color w:val="1E2D3B"/>
        </w:rPr>
        <w:t>Early Alert</w:t>
      </w:r>
    </w:p>
    <w:p w:rsidR="00D23E13" w:rsidRPr="00D23E13" w:rsidRDefault="00D23E13" w:rsidP="00D23E13">
      <w:pPr>
        <w:pStyle w:val="ListParagraph"/>
        <w:numPr>
          <w:ilvl w:val="1"/>
          <w:numId w:val="2"/>
        </w:numPr>
        <w:spacing w:before="100" w:beforeAutospacing="1" w:after="100" w:afterAutospacing="1"/>
        <w:rPr>
          <w:rFonts w:eastAsia="Times New Roman"/>
          <w:color w:val="1E2D3B"/>
        </w:rPr>
      </w:pPr>
      <w:r w:rsidRPr="00D23E13">
        <w:rPr>
          <w:rFonts w:eastAsia="Times New Roman"/>
          <w:color w:val="1E2D3B"/>
        </w:rPr>
        <w:t>Non-cognitive skills</w:t>
      </w:r>
    </w:p>
    <w:p w:rsidR="00D23E13" w:rsidRPr="00D23E13" w:rsidRDefault="00D23E13" w:rsidP="00D23E13">
      <w:pPr>
        <w:pStyle w:val="ListParagraph"/>
        <w:numPr>
          <w:ilvl w:val="1"/>
          <w:numId w:val="2"/>
        </w:numPr>
        <w:spacing w:before="100" w:beforeAutospacing="1" w:after="100" w:afterAutospacing="1"/>
        <w:rPr>
          <w:rFonts w:eastAsia="Times New Roman"/>
          <w:color w:val="1E2D3B"/>
        </w:rPr>
      </w:pPr>
      <w:r w:rsidRPr="00D23E13">
        <w:rPr>
          <w:rFonts w:eastAsia="Times New Roman"/>
          <w:color w:val="1E2D3B"/>
        </w:rPr>
        <w:t>Supplemental Instruction</w:t>
      </w:r>
    </w:p>
    <w:p w:rsidR="00D23E13" w:rsidRPr="00D23E13" w:rsidRDefault="00D23E13" w:rsidP="00D23E13">
      <w:pPr>
        <w:pStyle w:val="ListParagraph"/>
        <w:numPr>
          <w:ilvl w:val="1"/>
          <w:numId w:val="2"/>
        </w:numPr>
        <w:spacing w:before="100" w:beforeAutospacing="1" w:after="100" w:afterAutospacing="1"/>
        <w:rPr>
          <w:rFonts w:eastAsia="Times New Roman"/>
          <w:color w:val="1E2D3B"/>
        </w:rPr>
      </w:pPr>
      <w:r w:rsidRPr="00D23E13">
        <w:rPr>
          <w:rFonts w:eastAsia="Times New Roman"/>
          <w:color w:val="1E2D3B"/>
        </w:rPr>
        <w:t>Noncredit support courses</w:t>
      </w:r>
    </w:p>
    <w:p w:rsidR="00D23E13" w:rsidRPr="00D23E13" w:rsidRDefault="00D23E13" w:rsidP="00D23E13">
      <w:pPr>
        <w:pStyle w:val="ListParagraph"/>
        <w:numPr>
          <w:ilvl w:val="0"/>
          <w:numId w:val="2"/>
        </w:numPr>
        <w:spacing w:before="100" w:beforeAutospacing="1" w:after="100" w:afterAutospacing="1"/>
        <w:rPr>
          <w:rFonts w:eastAsia="Times New Roman"/>
          <w:color w:val="1E2D3B"/>
        </w:rPr>
      </w:pPr>
      <w:r w:rsidRPr="00D23E13">
        <w:rPr>
          <w:rFonts w:eastAsia="Times New Roman"/>
          <w:color w:val="1E2D3B"/>
        </w:rPr>
        <w:t>Continue development of Open Educational resources</w:t>
      </w:r>
    </w:p>
    <w:p w:rsidR="00D23E13" w:rsidRPr="00D23E13" w:rsidRDefault="00D23E13" w:rsidP="00D23E13">
      <w:pPr>
        <w:pStyle w:val="ListParagraph"/>
        <w:numPr>
          <w:ilvl w:val="0"/>
          <w:numId w:val="2"/>
        </w:numPr>
        <w:spacing w:before="100" w:beforeAutospacing="1" w:after="100" w:afterAutospacing="1"/>
        <w:rPr>
          <w:rFonts w:eastAsia="Times New Roman"/>
          <w:color w:val="1E2D3B"/>
        </w:rPr>
      </w:pPr>
      <w:r w:rsidRPr="00D23E13">
        <w:rPr>
          <w:rFonts w:eastAsia="Times New Roman"/>
          <w:color w:val="1E2D3B"/>
        </w:rPr>
        <w:t>Develop student sense of belonging</w:t>
      </w:r>
    </w:p>
    <w:p w:rsidR="00D23E13" w:rsidRPr="00D23E13" w:rsidRDefault="00D23E13" w:rsidP="00D23E13">
      <w:pPr>
        <w:pStyle w:val="ListParagraph"/>
        <w:numPr>
          <w:ilvl w:val="1"/>
          <w:numId w:val="2"/>
        </w:numPr>
        <w:spacing w:before="100" w:beforeAutospacing="1" w:after="100" w:afterAutospacing="1"/>
        <w:rPr>
          <w:rFonts w:eastAsia="Times New Roman"/>
          <w:color w:val="1E2D3B"/>
        </w:rPr>
      </w:pPr>
      <w:r w:rsidRPr="00D23E13">
        <w:rPr>
          <w:rFonts w:eastAsia="Times New Roman"/>
          <w:color w:val="1E2D3B"/>
        </w:rPr>
        <w:t>Success Teams</w:t>
      </w:r>
    </w:p>
    <w:p w:rsidR="00D23E13" w:rsidRPr="00D23E13" w:rsidRDefault="00D23E13" w:rsidP="00D23E13">
      <w:pPr>
        <w:pStyle w:val="ListParagraph"/>
        <w:numPr>
          <w:ilvl w:val="0"/>
          <w:numId w:val="2"/>
        </w:numPr>
        <w:spacing w:before="100" w:beforeAutospacing="1" w:after="100" w:afterAutospacing="1"/>
        <w:rPr>
          <w:rFonts w:eastAsia="Times New Roman"/>
          <w:color w:val="1E2D3B"/>
        </w:rPr>
      </w:pPr>
      <w:r w:rsidRPr="00D23E13">
        <w:rPr>
          <w:rFonts w:eastAsia="Times New Roman"/>
          <w:color w:val="1E2D3B"/>
        </w:rPr>
        <w:t>Continue to develop Equitable Classroom Practices</w:t>
      </w:r>
    </w:p>
    <w:p w:rsidR="00D23E13" w:rsidRPr="00D23E13" w:rsidRDefault="00D23E13" w:rsidP="00D23E13">
      <w:pPr>
        <w:pStyle w:val="ListParagraph"/>
        <w:numPr>
          <w:ilvl w:val="1"/>
          <w:numId w:val="2"/>
        </w:numPr>
        <w:spacing w:before="100" w:beforeAutospacing="1" w:after="100" w:afterAutospacing="1"/>
        <w:rPr>
          <w:rFonts w:eastAsia="Times New Roman"/>
          <w:color w:val="1E2D3B"/>
        </w:rPr>
      </w:pPr>
      <w:r w:rsidRPr="00D23E13">
        <w:rPr>
          <w:rFonts w:eastAsia="Times New Roman"/>
          <w:color w:val="1E2D3B"/>
        </w:rPr>
        <w:t>Modes of Instruction</w:t>
      </w:r>
    </w:p>
    <w:p w:rsidR="00D23E13" w:rsidRPr="00D23E13" w:rsidRDefault="00D23E13" w:rsidP="00D23E13">
      <w:pPr>
        <w:pStyle w:val="ListParagraph"/>
        <w:numPr>
          <w:ilvl w:val="1"/>
          <w:numId w:val="2"/>
        </w:numPr>
        <w:spacing w:before="100" w:beforeAutospacing="1" w:after="100" w:afterAutospacing="1"/>
        <w:rPr>
          <w:rFonts w:eastAsia="Times New Roman"/>
          <w:color w:val="1E2D3B"/>
        </w:rPr>
      </w:pPr>
      <w:r w:rsidRPr="00D23E13">
        <w:rPr>
          <w:rFonts w:eastAsia="Times New Roman"/>
          <w:color w:val="1E2D3B"/>
        </w:rPr>
        <w:t>High Impact Practice</w:t>
      </w:r>
    </w:p>
    <w:p w:rsidR="00D23E13" w:rsidRPr="00D23E13" w:rsidRDefault="00D23E13" w:rsidP="00D23E13">
      <w:pPr>
        <w:pStyle w:val="ListParagraph"/>
        <w:numPr>
          <w:ilvl w:val="2"/>
          <w:numId w:val="2"/>
        </w:numPr>
        <w:spacing w:before="100" w:beforeAutospacing="1" w:after="100" w:afterAutospacing="1"/>
        <w:rPr>
          <w:rFonts w:eastAsia="Times New Roman"/>
          <w:color w:val="1E2D3B"/>
        </w:rPr>
      </w:pPr>
      <w:r w:rsidRPr="00D23E13">
        <w:rPr>
          <w:rFonts w:eastAsia="Times New Roman"/>
          <w:color w:val="1E2D3B"/>
        </w:rPr>
        <w:t>Contextualized Learning</w:t>
      </w:r>
    </w:p>
    <w:p w:rsidR="00D23E13" w:rsidRPr="00D23E13" w:rsidRDefault="00D23E13" w:rsidP="00D23E13">
      <w:pPr>
        <w:pStyle w:val="ListParagraph"/>
        <w:numPr>
          <w:ilvl w:val="2"/>
          <w:numId w:val="2"/>
        </w:numPr>
        <w:spacing w:before="100" w:beforeAutospacing="1" w:after="100" w:afterAutospacing="1"/>
        <w:rPr>
          <w:rFonts w:eastAsia="Times New Roman"/>
          <w:color w:val="1E2D3B"/>
        </w:rPr>
      </w:pPr>
      <w:r w:rsidRPr="00D23E13">
        <w:rPr>
          <w:rFonts w:eastAsia="Times New Roman"/>
          <w:color w:val="1E2D3B"/>
        </w:rPr>
        <w:t>Non-Cognitive Support</w:t>
      </w:r>
    </w:p>
    <w:p w:rsidR="00D23E13" w:rsidRPr="00D23E13" w:rsidRDefault="00D23E13" w:rsidP="00D23E13">
      <w:pPr>
        <w:pStyle w:val="ListParagraph"/>
        <w:numPr>
          <w:ilvl w:val="2"/>
          <w:numId w:val="2"/>
        </w:numPr>
        <w:spacing w:before="100" w:beforeAutospacing="1" w:after="100" w:afterAutospacing="1"/>
        <w:rPr>
          <w:rFonts w:eastAsia="Times New Roman"/>
          <w:color w:val="1E2D3B"/>
        </w:rPr>
      </w:pPr>
      <w:r w:rsidRPr="00D23E13">
        <w:rPr>
          <w:rFonts w:eastAsia="Times New Roman"/>
          <w:color w:val="1E2D3B"/>
        </w:rPr>
        <w:t>Project and Problem-Based Learning</w:t>
      </w:r>
    </w:p>
    <w:p w:rsidR="00D23E13" w:rsidRPr="00D23E13" w:rsidRDefault="00D23E13" w:rsidP="00D23E13">
      <w:pPr>
        <w:pStyle w:val="ListParagraph"/>
        <w:numPr>
          <w:ilvl w:val="2"/>
          <w:numId w:val="2"/>
        </w:numPr>
        <w:spacing w:before="100" w:beforeAutospacing="1" w:after="100" w:afterAutospacing="1"/>
        <w:rPr>
          <w:rFonts w:eastAsia="Times New Roman"/>
          <w:color w:val="1E2D3B"/>
        </w:rPr>
      </w:pPr>
      <w:r w:rsidRPr="00D23E13">
        <w:rPr>
          <w:rFonts w:eastAsia="Times New Roman"/>
          <w:color w:val="1E2D3B"/>
        </w:rPr>
        <w:t>Inquiry-Based Learning</w:t>
      </w:r>
    </w:p>
    <w:p w:rsidR="00D23E13" w:rsidRPr="00D23E13" w:rsidRDefault="00D23E13" w:rsidP="00D23E13">
      <w:pPr>
        <w:pStyle w:val="ListParagraph"/>
        <w:numPr>
          <w:ilvl w:val="0"/>
          <w:numId w:val="2"/>
        </w:numPr>
        <w:spacing w:before="100" w:beforeAutospacing="1" w:after="100" w:afterAutospacing="1"/>
        <w:rPr>
          <w:rFonts w:eastAsia="Times New Roman"/>
          <w:color w:val="1E2D3B"/>
        </w:rPr>
      </w:pPr>
      <w:r w:rsidRPr="00D23E13">
        <w:rPr>
          <w:rFonts w:eastAsia="Times New Roman"/>
          <w:color w:val="1E2D3B"/>
        </w:rPr>
        <w:t>Develop Culture of Care</w:t>
      </w:r>
    </w:p>
    <w:p w:rsidR="00D23E13" w:rsidRPr="00D23E13" w:rsidRDefault="00D23E13" w:rsidP="00D23E13">
      <w:pPr>
        <w:pStyle w:val="ListParagraph"/>
        <w:numPr>
          <w:ilvl w:val="0"/>
          <w:numId w:val="2"/>
        </w:numPr>
        <w:spacing w:before="100" w:beforeAutospacing="1" w:after="100" w:afterAutospacing="1"/>
        <w:rPr>
          <w:rFonts w:eastAsia="Times New Roman"/>
          <w:color w:val="1E2D3B"/>
        </w:rPr>
      </w:pPr>
      <w:r w:rsidRPr="00D23E13">
        <w:rPr>
          <w:rFonts w:eastAsia="Times New Roman"/>
          <w:color w:val="1E2D3B"/>
        </w:rPr>
        <w:t>Optimize physical resources on campus</w:t>
      </w:r>
    </w:p>
    <w:p w:rsidR="00D23E13" w:rsidRPr="00D23E13" w:rsidRDefault="00D23E13" w:rsidP="00D23E13">
      <w:pPr>
        <w:pStyle w:val="ListParagraph"/>
        <w:numPr>
          <w:ilvl w:val="0"/>
          <w:numId w:val="2"/>
        </w:numPr>
        <w:spacing w:before="100" w:beforeAutospacing="1" w:after="100" w:afterAutospacing="1"/>
        <w:rPr>
          <w:rFonts w:eastAsia="Times New Roman"/>
          <w:color w:val="1E2D3B"/>
        </w:rPr>
      </w:pPr>
      <w:r w:rsidRPr="00D23E13">
        <w:rPr>
          <w:rFonts w:eastAsia="Times New Roman"/>
          <w:color w:val="1E2D3B"/>
        </w:rPr>
        <w:t>Work with Communications and Community Development to optimize GCC website</w:t>
      </w:r>
    </w:p>
    <w:p w:rsidR="00D23E13" w:rsidRPr="00D23E13" w:rsidRDefault="00D23E13" w:rsidP="00D23E13">
      <w:pPr>
        <w:spacing w:beforeAutospacing="1" w:afterAutospacing="1"/>
        <w:rPr>
          <w:rFonts w:eastAsia="Times New Roman"/>
          <w:color w:val="1E2D3B"/>
        </w:rPr>
      </w:pPr>
      <w:r w:rsidRPr="00D23E13">
        <w:rPr>
          <w:rFonts w:eastAsia="Times New Roman"/>
          <w:color w:val="1E2D3B"/>
          <w:u w:val="single"/>
        </w:rPr>
        <w:t>Faculty Development:</w:t>
      </w:r>
      <w:r w:rsidRPr="00D23E13">
        <w:rPr>
          <w:rFonts w:eastAsia="Times New Roman"/>
          <w:color w:val="1E2D3B"/>
        </w:rPr>
        <w:t xml:space="preserve"> Create resources and community to support faculty in effectively engaging students and supporting high-impact learning practices. </w:t>
      </w:r>
    </w:p>
    <w:p w:rsidR="00D23E13" w:rsidRPr="00D23E13" w:rsidRDefault="00D23E13" w:rsidP="00D23E13">
      <w:pPr>
        <w:pStyle w:val="ListParagraph"/>
        <w:numPr>
          <w:ilvl w:val="0"/>
          <w:numId w:val="2"/>
        </w:numPr>
        <w:spacing w:before="100" w:beforeAutospacing="1" w:after="100" w:afterAutospacing="1"/>
        <w:rPr>
          <w:rFonts w:eastAsia="Times New Roman"/>
          <w:color w:val="1E2D3B"/>
        </w:rPr>
      </w:pPr>
      <w:r w:rsidRPr="00D23E13">
        <w:rPr>
          <w:rFonts w:eastAsia="Times New Roman"/>
          <w:color w:val="1E2D3B"/>
        </w:rPr>
        <w:t>Provide resources and support to faculty to develop and implement equitable classroom practice</w:t>
      </w:r>
    </w:p>
    <w:p w:rsidR="00D23E13" w:rsidRDefault="00D23E13" w:rsidP="00D23E13">
      <w:pPr>
        <w:pStyle w:val="ListParagraph"/>
        <w:numPr>
          <w:ilvl w:val="1"/>
          <w:numId w:val="2"/>
        </w:numPr>
        <w:spacing w:before="100" w:beforeAutospacing="1" w:after="100" w:afterAutospacing="1"/>
        <w:rPr>
          <w:rFonts w:eastAsia="Times New Roman"/>
          <w:color w:val="1E2D3B"/>
        </w:rPr>
        <w:sectPr w:rsidR="00D23E13" w:rsidSect="00D23E13">
          <w:pgSz w:w="12240" w:h="15840"/>
          <w:pgMar w:top="720" w:right="720" w:bottom="720" w:left="720" w:header="720" w:footer="720" w:gutter="0"/>
          <w:cols w:space="720"/>
          <w:docGrid w:linePitch="360"/>
        </w:sectPr>
      </w:pPr>
    </w:p>
    <w:p w:rsidR="00D23E13" w:rsidRPr="00D23E13" w:rsidRDefault="00D23E13" w:rsidP="00D23E13">
      <w:pPr>
        <w:pStyle w:val="ListParagraph"/>
        <w:numPr>
          <w:ilvl w:val="1"/>
          <w:numId w:val="2"/>
        </w:numPr>
        <w:spacing w:before="100" w:beforeAutospacing="1" w:after="100" w:afterAutospacing="1"/>
        <w:rPr>
          <w:rFonts w:eastAsia="Times New Roman"/>
          <w:color w:val="1E2D3B"/>
        </w:rPr>
      </w:pPr>
      <w:r w:rsidRPr="00D23E13">
        <w:rPr>
          <w:rFonts w:eastAsia="Times New Roman"/>
          <w:color w:val="1E2D3B"/>
        </w:rPr>
        <w:t>Contextualized Learning</w:t>
      </w:r>
    </w:p>
    <w:p w:rsidR="00D23E13" w:rsidRPr="00D23E13" w:rsidRDefault="00D23E13" w:rsidP="00D23E13">
      <w:pPr>
        <w:pStyle w:val="ListParagraph"/>
        <w:numPr>
          <w:ilvl w:val="1"/>
          <w:numId w:val="2"/>
        </w:numPr>
        <w:spacing w:before="100" w:beforeAutospacing="1" w:after="100" w:afterAutospacing="1"/>
        <w:rPr>
          <w:rFonts w:eastAsia="Times New Roman"/>
          <w:color w:val="1E2D3B"/>
        </w:rPr>
      </w:pPr>
      <w:r w:rsidRPr="00D23E13">
        <w:rPr>
          <w:rFonts w:eastAsia="Times New Roman"/>
          <w:color w:val="1E2D3B"/>
        </w:rPr>
        <w:t>Sense of belonging</w:t>
      </w:r>
    </w:p>
    <w:p w:rsidR="00D23E13" w:rsidRPr="00D23E13" w:rsidRDefault="00D23E13" w:rsidP="00D23E13">
      <w:pPr>
        <w:pStyle w:val="ListParagraph"/>
        <w:numPr>
          <w:ilvl w:val="1"/>
          <w:numId w:val="2"/>
        </w:numPr>
        <w:spacing w:before="100" w:beforeAutospacing="1" w:after="100" w:afterAutospacing="1"/>
        <w:rPr>
          <w:rFonts w:eastAsia="Times New Roman"/>
          <w:color w:val="1E2D3B"/>
        </w:rPr>
      </w:pPr>
      <w:r w:rsidRPr="00D23E13">
        <w:rPr>
          <w:rFonts w:eastAsia="Times New Roman"/>
          <w:color w:val="1E2D3B"/>
        </w:rPr>
        <w:t>Non-cognitive skills</w:t>
      </w:r>
    </w:p>
    <w:p w:rsidR="00D23E13" w:rsidRPr="00D23E13" w:rsidRDefault="00D23E13" w:rsidP="00D23E13">
      <w:pPr>
        <w:pStyle w:val="ListParagraph"/>
        <w:numPr>
          <w:ilvl w:val="1"/>
          <w:numId w:val="2"/>
        </w:numPr>
        <w:spacing w:before="100" w:beforeAutospacing="1" w:after="100" w:afterAutospacing="1"/>
        <w:rPr>
          <w:rFonts w:eastAsia="Times New Roman"/>
          <w:color w:val="1E2D3B"/>
        </w:rPr>
      </w:pPr>
      <w:r w:rsidRPr="00D23E13">
        <w:rPr>
          <w:rFonts w:eastAsia="Times New Roman"/>
          <w:color w:val="1E2D3B"/>
        </w:rPr>
        <w:t>Project and problem-based learning</w:t>
      </w:r>
    </w:p>
    <w:p w:rsidR="00D23E13" w:rsidRPr="00D23E13" w:rsidRDefault="00D23E13" w:rsidP="00D23E13">
      <w:pPr>
        <w:pStyle w:val="ListParagraph"/>
        <w:numPr>
          <w:ilvl w:val="1"/>
          <w:numId w:val="2"/>
        </w:numPr>
        <w:spacing w:before="100" w:beforeAutospacing="1" w:after="100" w:afterAutospacing="1"/>
        <w:rPr>
          <w:rFonts w:eastAsia="Times New Roman"/>
          <w:color w:val="1E2D3B"/>
        </w:rPr>
      </w:pPr>
      <w:r w:rsidRPr="00D23E13">
        <w:rPr>
          <w:rFonts w:eastAsia="Times New Roman"/>
          <w:color w:val="1E2D3B"/>
        </w:rPr>
        <w:t>Inquiry-based learning</w:t>
      </w:r>
    </w:p>
    <w:p w:rsidR="00D23E13" w:rsidRPr="00D23E13" w:rsidRDefault="00D23E13" w:rsidP="00D23E13">
      <w:pPr>
        <w:pStyle w:val="ListParagraph"/>
        <w:numPr>
          <w:ilvl w:val="1"/>
          <w:numId w:val="2"/>
        </w:numPr>
        <w:spacing w:before="100" w:beforeAutospacing="1" w:after="100" w:afterAutospacing="1"/>
        <w:rPr>
          <w:rFonts w:eastAsia="Times New Roman"/>
          <w:color w:val="1E2D3B"/>
        </w:rPr>
      </w:pPr>
      <w:r w:rsidRPr="00D23E13">
        <w:rPr>
          <w:rFonts w:eastAsia="Times New Roman"/>
          <w:color w:val="1E2D3B"/>
        </w:rPr>
        <w:t>Assessing Learning</w:t>
      </w:r>
    </w:p>
    <w:p w:rsidR="00D23E13" w:rsidRPr="00D23E13" w:rsidRDefault="00D23E13" w:rsidP="00D23E13">
      <w:pPr>
        <w:pStyle w:val="ListParagraph"/>
        <w:numPr>
          <w:ilvl w:val="1"/>
          <w:numId w:val="2"/>
        </w:numPr>
        <w:spacing w:before="100" w:beforeAutospacing="1" w:after="100" w:afterAutospacing="1"/>
        <w:rPr>
          <w:rFonts w:eastAsia="Times New Roman"/>
          <w:color w:val="1E2D3B"/>
        </w:rPr>
      </w:pPr>
      <w:r w:rsidRPr="00D23E13">
        <w:rPr>
          <w:rFonts w:eastAsia="Times New Roman"/>
          <w:color w:val="1E2D3B"/>
        </w:rPr>
        <w:t>Open Educational Resources</w:t>
      </w:r>
    </w:p>
    <w:p w:rsidR="00D23E13" w:rsidRPr="00D23E13" w:rsidRDefault="00D23E13" w:rsidP="00D23E13">
      <w:pPr>
        <w:pStyle w:val="ListParagraph"/>
        <w:numPr>
          <w:ilvl w:val="1"/>
          <w:numId w:val="2"/>
        </w:numPr>
        <w:spacing w:before="100" w:beforeAutospacing="1" w:after="100" w:afterAutospacing="1"/>
        <w:rPr>
          <w:rFonts w:eastAsia="Times New Roman"/>
          <w:color w:val="1E2D3B"/>
        </w:rPr>
      </w:pPr>
      <w:r w:rsidRPr="00D23E13">
        <w:rPr>
          <w:rFonts w:eastAsia="Times New Roman"/>
          <w:color w:val="1E2D3B"/>
        </w:rPr>
        <w:t>DEIA and Distance Learning</w:t>
      </w:r>
    </w:p>
    <w:p w:rsidR="00D23E13" w:rsidRDefault="00D23E13" w:rsidP="00D23E13">
      <w:pPr>
        <w:spacing w:beforeAutospacing="1" w:afterAutospacing="1"/>
        <w:rPr>
          <w:rFonts w:eastAsia="Times New Roman"/>
          <w:color w:val="1E2D3B"/>
          <w:u w:val="single"/>
        </w:rPr>
        <w:sectPr w:rsidR="00D23E13" w:rsidSect="00D23E13">
          <w:type w:val="continuous"/>
          <w:pgSz w:w="12240" w:h="15840"/>
          <w:pgMar w:top="720" w:right="720" w:bottom="720" w:left="720" w:header="720" w:footer="720" w:gutter="0"/>
          <w:cols w:num="2" w:space="720"/>
          <w:docGrid w:linePitch="360"/>
        </w:sectPr>
      </w:pPr>
    </w:p>
    <w:p w:rsidR="00D23E13" w:rsidRPr="00D23E13" w:rsidRDefault="00D23E13" w:rsidP="00D23E13">
      <w:pPr>
        <w:spacing w:beforeAutospacing="1" w:afterAutospacing="1"/>
        <w:rPr>
          <w:rFonts w:eastAsia="Times New Roman"/>
          <w:color w:val="1E2D3B"/>
        </w:rPr>
      </w:pPr>
      <w:r w:rsidRPr="00D23E13">
        <w:rPr>
          <w:rFonts w:eastAsia="Times New Roman"/>
          <w:color w:val="1E2D3B"/>
          <w:u w:val="single"/>
        </w:rPr>
        <w:t>Community Development</w:t>
      </w:r>
      <w:r w:rsidRPr="00D23E13">
        <w:rPr>
          <w:rFonts w:eastAsia="Times New Roman"/>
          <w:color w:val="1E2D3B"/>
        </w:rPr>
        <w:t>: Support faculty, manager, and staff community around practices of equity and creating sense of belonging.</w:t>
      </w:r>
    </w:p>
    <w:p w:rsidR="00D23E13" w:rsidRPr="00D23E13" w:rsidRDefault="00D23E13" w:rsidP="00D23E13">
      <w:pPr>
        <w:pStyle w:val="ListParagraph"/>
        <w:numPr>
          <w:ilvl w:val="0"/>
          <w:numId w:val="2"/>
        </w:numPr>
        <w:spacing w:before="100" w:beforeAutospacing="1" w:after="100" w:afterAutospacing="1"/>
        <w:rPr>
          <w:rFonts w:eastAsia="Times New Roman"/>
          <w:color w:val="1E2D3B"/>
        </w:rPr>
      </w:pPr>
      <w:r w:rsidRPr="00D23E13">
        <w:rPr>
          <w:rFonts w:eastAsia="Times New Roman"/>
          <w:color w:val="1E2D3B"/>
        </w:rPr>
        <w:t>Culture of Care</w:t>
      </w:r>
    </w:p>
    <w:p w:rsidR="009558CE" w:rsidRPr="00D23E13" w:rsidRDefault="00D23E13" w:rsidP="00D23E13">
      <w:pPr>
        <w:pStyle w:val="ListParagraph"/>
        <w:numPr>
          <w:ilvl w:val="0"/>
          <w:numId w:val="2"/>
        </w:numPr>
        <w:spacing w:before="100" w:beforeAutospacing="1" w:after="100" w:afterAutospacing="1"/>
        <w:rPr>
          <w:rFonts w:eastAsia="Times New Roman"/>
          <w:color w:val="1E2D3B"/>
        </w:rPr>
      </w:pPr>
      <w:r w:rsidRPr="00D23E13">
        <w:rPr>
          <w:rFonts w:eastAsia="Times New Roman"/>
          <w:color w:val="1E2D3B"/>
        </w:rPr>
        <w:t>Relationship of credit and noncredit</w:t>
      </w:r>
      <w:bookmarkStart w:id="0" w:name="_GoBack"/>
      <w:bookmarkEnd w:id="0"/>
    </w:p>
    <w:sectPr w:rsidR="009558CE" w:rsidRPr="00D23E13" w:rsidSect="00D23E13">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41364"/>
    <w:multiLevelType w:val="multilevel"/>
    <w:tmpl w:val="380EC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4A6E02"/>
    <w:multiLevelType w:val="hybridMultilevel"/>
    <w:tmpl w:val="536487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E13"/>
    <w:rsid w:val="00191F68"/>
    <w:rsid w:val="00387E50"/>
    <w:rsid w:val="00442FFE"/>
    <w:rsid w:val="009558CE"/>
    <w:rsid w:val="00D23E13"/>
    <w:rsid w:val="00EC4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C370F3"/>
  <w15:chartTrackingRefBased/>
  <w15:docId w15:val="{E6E362D0-9DD1-A14A-A359-FE176CDB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3E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E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382</Words>
  <Characters>2183</Characters>
  <Application>Microsoft Office Word</Application>
  <DocSecurity>0</DocSecurity>
  <Lines>18</Lines>
  <Paragraphs>5</Paragraphs>
  <ScaleCrop>false</ScaleCrop>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2022-07-11T17:09:00Z</dcterms:created>
  <dcterms:modified xsi:type="dcterms:W3CDTF">2022-07-11T17:12:00Z</dcterms:modified>
</cp:coreProperties>
</file>