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FC" w:rsidRPr="00B626FC" w:rsidRDefault="00B626FC" w:rsidP="00B626FC">
      <w:pPr>
        <w:spacing w:after="0" w:line="240" w:lineRule="auto"/>
        <w:jc w:val="center"/>
        <w:rPr>
          <w:rFonts w:ascii="Arial" w:eastAsia="Calibri" w:hAnsi="Arial" w:cs="Times New Roman"/>
          <w:sz w:val="20"/>
          <w:szCs w:val="24"/>
        </w:rPr>
      </w:pPr>
      <w:r w:rsidRPr="00B626FC">
        <w:rPr>
          <w:rFonts w:ascii="Arial" w:eastAsia="Calibri" w:hAnsi="Arial" w:cs="Times New Roman"/>
          <w:noProof/>
          <w:sz w:val="20"/>
          <w:szCs w:val="24"/>
        </w:rPr>
        <w:drawing>
          <wp:inline distT="0" distB="0" distL="0" distR="0" wp14:anchorId="1A1E4C07" wp14:editId="17576803">
            <wp:extent cx="4946650" cy="1276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_memo.PNG"/>
                    <pic:cNvPicPr/>
                  </pic:nvPicPr>
                  <pic:blipFill>
                    <a:blip r:embed="rId5">
                      <a:extLst>
                        <a:ext uri="{28A0092B-C50C-407E-A947-70E740481C1C}">
                          <a14:useLocalDpi xmlns:a14="http://schemas.microsoft.com/office/drawing/2010/main" val="0"/>
                        </a:ext>
                      </a:extLst>
                    </a:blip>
                    <a:stretch>
                      <a:fillRect/>
                    </a:stretch>
                  </pic:blipFill>
                  <pic:spPr>
                    <a:xfrm>
                      <a:off x="0" y="0"/>
                      <a:ext cx="4946650" cy="1276350"/>
                    </a:xfrm>
                    <a:prstGeom prst="rect">
                      <a:avLst/>
                    </a:prstGeom>
                  </pic:spPr>
                </pic:pic>
              </a:graphicData>
            </a:graphic>
          </wp:inline>
        </w:drawing>
      </w:r>
    </w:p>
    <w:p w:rsidR="00B626FC" w:rsidRPr="00B626FC" w:rsidRDefault="00B626FC" w:rsidP="00B626FC">
      <w:pPr>
        <w:spacing w:after="0" w:line="240" w:lineRule="auto"/>
        <w:ind w:left="2160" w:hanging="990"/>
        <w:rPr>
          <w:rFonts w:ascii="Arial" w:eastAsia="Calibri" w:hAnsi="Arial" w:cs="Times New Roman"/>
          <w:sz w:val="20"/>
          <w:szCs w:val="24"/>
        </w:rPr>
      </w:pPr>
      <w:r w:rsidRPr="00B626FC">
        <w:rPr>
          <w:rFonts w:ascii="Arial" w:eastAsia="Calibri" w:hAnsi="Arial" w:cs="Times New Roman"/>
          <w:sz w:val="20"/>
          <w:szCs w:val="24"/>
        </w:rPr>
        <w:t>TO:</w:t>
      </w:r>
      <w:r w:rsidRPr="00B626FC">
        <w:rPr>
          <w:rFonts w:ascii="Arial" w:eastAsia="Calibri" w:hAnsi="Arial" w:cs="Times New Roman"/>
          <w:sz w:val="20"/>
          <w:szCs w:val="24"/>
        </w:rPr>
        <w:tab/>
      </w:r>
      <w:r>
        <w:rPr>
          <w:rFonts w:ascii="Arial" w:eastAsia="Calibri" w:hAnsi="Arial" w:cs="Times New Roman"/>
          <w:sz w:val="20"/>
          <w:szCs w:val="24"/>
        </w:rPr>
        <w:t xml:space="preserve">Daphne </w:t>
      </w:r>
      <w:proofErr w:type="spellStart"/>
      <w:r>
        <w:rPr>
          <w:rFonts w:ascii="Arial" w:eastAsia="Calibri" w:hAnsi="Arial" w:cs="Times New Roman"/>
          <w:sz w:val="20"/>
          <w:szCs w:val="24"/>
        </w:rPr>
        <w:t>Dionisio</w:t>
      </w:r>
      <w:proofErr w:type="spellEnd"/>
      <w:r>
        <w:rPr>
          <w:rFonts w:ascii="Arial" w:eastAsia="Calibri" w:hAnsi="Arial" w:cs="Times New Roman"/>
          <w:sz w:val="20"/>
          <w:szCs w:val="24"/>
        </w:rPr>
        <w:t>, Chair of Program Review</w:t>
      </w:r>
      <w:bookmarkStart w:id="0" w:name="_GoBack"/>
      <w:bookmarkEnd w:id="0"/>
    </w:p>
    <w:p w:rsidR="00B626FC" w:rsidRPr="00B626FC" w:rsidRDefault="00B626FC" w:rsidP="00B626FC">
      <w:pPr>
        <w:spacing w:after="0" w:line="240" w:lineRule="auto"/>
        <w:ind w:left="2160" w:hanging="990"/>
        <w:rPr>
          <w:rFonts w:ascii="Arial" w:eastAsia="Calibri" w:hAnsi="Arial" w:cs="Times New Roman"/>
          <w:sz w:val="20"/>
          <w:szCs w:val="24"/>
        </w:rPr>
      </w:pPr>
      <w:r w:rsidRPr="00B626FC">
        <w:rPr>
          <w:rFonts w:ascii="Arial" w:eastAsia="Calibri" w:hAnsi="Arial" w:cs="Times New Roman"/>
          <w:sz w:val="20"/>
          <w:szCs w:val="24"/>
        </w:rPr>
        <w:t>FR:</w:t>
      </w:r>
      <w:r w:rsidRPr="00B626FC">
        <w:rPr>
          <w:rFonts w:ascii="Arial" w:eastAsia="Calibri" w:hAnsi="Arial" w:cs="Times New Roman"/>
          <w:sz w:val="20"/>
          <w:szCs w:val="24"/>
        </w:rPr>
        <w:tab/>
        <w:t xml:space="preserve">Ed </w:t>
      </w:r>
      <w:proofErr w:type="spellStart"/>
      <w:r w:rsidRPr="00B626FC">
        <w:rPr>
          <w:rFonts w:ascii="Arial" w:eastAsia="Calibri" w:hAnsi="Arial" w:cs="Times New Roman"/>
          <w:sz w:val="20"/>
          <w:szCs w:val="24"/>
        </w:rPr>
        <w:t>Karpp</w:t>
      </w:r>
      <w:proofErr w:type="spellEnd"/>
      <w:r w:rsidRPr="00B626FC">
        <w:rPr>
          <w:rFonts w:ascii="Arial" w:eastAsia="Calibri" w:hAnsi="Arial" w:cs="Times New Roman"/>
          <w:sz w:val="20"/>
          <w:szCs w:val="24"/>
        </w:rPr>
        <w:t xml:space="preserve">, Dean of Research, Planning &amp; Grants </w:t>
      </w:r>
    </w:p>
    <w:p w:rsidR="00B626FC" w:rsidRPr="00B626FC" w:rsidRDefault="00B626FC" w:rsidP="00B626FC">
      <w:pPr>
        <w:spacing w:after="0" w:line="240" w:lineRule="auto"/>
        <w:ind w:left="2160"/>
        <w:rPr>
          <w:rFonts w:ascii="Arial" w:eastAsia="Calibri" w:hAnsi="Arial" w:cs="Times New Roman"/>
          <w:sz w:val="20"/>
          <w:szCs w:val="24"/>
        </w:rPr>
      </w:pPr>
      <w:r w:rsidRPr="00B626FC">
        <w:rPr>
          <w:rFonts w:ascii="Arial" w:eastAsia="Calibri" w:hAnsi="Arial" w:cs="Times New Roman"/>
          <w:sz w:val="20"/>
          <w:szCs w:val="24"/>
        </w:rPr>
        <w:t xml:space="preserve">Daphne </w:t>
      </w:r>
      <w:proofErr w:type="spellStart"/>
      <w:r w:rsidRPr="00B626FC">
        <w:rPr>
          <w:rFonts w:ascii="Arial" w:eastAsia="Calibri" w:hAnsi="Arial" w:cs="Times New Roman"/>
          <w:sz w:val="20"/>
          <w:szCs w:val="24"/>
        </w:rPr>
        <w:t>Dionisio</w:t>
      </w:r>
      <w:proofErr w:type="spellEnd"/>
      <w:r w:rsidRPr="00B626FC">
        <w:rPr>
          <w:rFonts w:ascii="Arial" w:eastAsia="Calibri" w:hAnsi="Arial" w:cs="Times New Roman"/>
          <w:sz w:val="20"/>
          <w:szCs w:val="24"/>
        </w:rPr>
        <w:t>, Manager of Accreditation &amp; Institutional Effectiveness</w:t>
      </w:r>
    </w:p>
    <w:p w:rsidR="00B626FC" w:rsidRPr="00B626FC" w:rsidRDefault="00B626FC" w:rsidP="00B626FC">
      <w:pPr>
        <w:spacing w:after="0" w:line="240" w:lineRule="auto"/>
        <w:ind w:left="2160"/>
        <w:rPr>
          <w:rFonts w:ascii="Arial" w:eastAsia="Calibri" w:hAnsi="Arial" w:cs="Times New Roman"/>
          <w:sz w:val="20"/>
          <w:szCs w:val="24"/>
        </w:rPr>
      </w:pPr>
      <w:r w:rsidRPr="00B626FC">
        <w:rPr>
          <w:rFonts w:ascii="Arial" w:eastAsia="Calibri" w:hAnsi="Arial" w:cs="Times New Roman"/>
          <w:sz w:val="20"/>
          <w:szCs w:val="24"/>
        </w:rPr>
        <w:t xml:space="preserve">Beth Kronbeck, Faculty Coordinator of Planning &amp; Accreditation </w:t>
      </w:r>
    </w:p>
    <w:p w:rsidR="00B626FC" w:rsidRPr="00B626FC" w:rsidRDefault="00B626FC" w:rsidP="00B626FC">
      <w:pPr>
        <w:spacing w:after="0" w:line="240" w:lineRule="auto"/>
        <w:ind w:left="2160" w:hanging="990"/>
        <w:rPr>
          <w:rFonts w:ascii="Arial" w:eastAsia="Calibri" w:hAnsi="Arial" w:cs="Times New Roman"/>
          <w:sz w:val="20"/>
          <w:szCs w:val="24"/>
        </w:rPr>
      </w:pPr>
      <w:r w:rsidRPr="00B626FC">
        <w:rPr>
          <w:rFonts w:ascii="Arial" w:eastAsia="Calibri" w:hAnsi="Arial" w:cs="Times New Roman"/>
          <w:sz w:val="20"/>
          <w:szCs w:val="24"/>
        </w:rPr>
        <w:t>RE:</w:t>
      </w:r>
      <w:r w:rsidRPr="00B626FC">
        <w:rPr>
          <w:rFonts w:ascii="Arial" w:eastAsia="Calibri" w:hAnsi="Arial" w:cs="Times New Roman"/>
          <w:sz w:val="20"/>
          <w:szCs w:val="24"/>
        </w:rPr>
        <w:tab/>
      </w:r>
      <w:proofErr w:type="gramStart"/>
      <w:r w:rsidRPr="00B626FC">
        <w:rPr>
          <w:rFonts w:ascii="Arial" w:eastAsia="Calibri" w:hAnsi="Arial" w:cs="Times New Roman"/>
          <w:sz w:val="20"/>
          <w:szCs w:val="24"/>
        </w:rPr>
        <w:t>Your</w:t>
      </w:r>
      <w:proofErr w:type="gramEnd"/>
      <w:r w:rsidRPr="00B626FC">
        <w:rPr>
          <w:rFonts w:ascii="Arial" w:eastAsia="Calibri" w:hAnsi="Arial" w:cs="Times New Roman"/>
          <w:sz w:val="20"/>
          <w:szCs w:val="24"/>
        </w:rPr>
        <w:t xml:space="preserve"> Committee Agenda</w:t>
      </w:r>
    </w:p>
    <w:p w:rsidR="00B626FC" w:rsidRPr="00B626FC" w:rsidRDefault="00B626FC" w:rsidP="00B626FC">
      <w:pPr>
        <w:spacing w:after="0" w:line="240" w:lineRule="auto"/>
        <w:ind w:left="2160" w:hanging="990"/>
        <w:rPr>
          <w:rFonts w:ascii="Arial" w:eastAsia="Calibri" w:hAnsi="Arial" w:cs="Times New Roman"/>
          <w:sz w:val="20"/>
          <w:szCs w:val="24"/>
        </w:rPr>
      </w:pPr>
      <w:r w:rsidRPr="00B626FC">
        <w:rPr>
          <w:rFonts w:ascii="Arial" w:eastAsia="Calibri" w:hAnsi="Arial" w:cs="Times New Roman"/>
          <w:sz w:val="20"/>
          <w:szCs w:val="24"/>
        </w:rPr>
        <w:t>DATE:</w:t>
      </w:r>
      <w:r w:rsidRPr="00B626FC">
        <w:rPr>
          <w:rFonts w:ascii="Arial" w:eastAsia="Calibri" w:hAnsi="Arial" w:cs="Times New Roman"/>
          <w:sz w:val="20"/>
          <w:szCs w:val="24"/>
        </w:rPr>
        <w:tab/>
        <w:t>September 16, 2019</w:t>
      </w:r>
    </w:p>
    <w:p w:rsidR="00B626FC" w:rsidRPr="00B626FC" w:rsidRDefault="00B626FC" w:rsidP="00B626FC">
      <w:pPr>
        <w:spacing w:after="0" w:line="240" w:lineRule="auto"/>
        <w:ind w:left="2160" w:hanging="990"/>
        <w:rPr>
          <w:rFonts w:ascii="Arial" w:eastAsia="Calibri" w:hAnsi="Arial" w:cs="Times New Roman"/>
          <w:sz w:val="20"/>
          <w:szCs w:val="24"/>
        </w:rPr>
      </w:pPr>
    </w:p>
    <w:p w:rsidR="00B626FC" w:rsidRPr="00B626FC" w:rsidRDefault="00B626FC" w:rsidP="00B626FC">
      <w:pPr>
        <w:spacing w:after="0" w:line="240" w:lineRule="auto"/>
        <w:ind w:left="2160" w:hanging="990"/>
        <w:rPr>
          <w:rFonts w:ascii="Arial" w:eastAsia="Calibri" w:hAnsi="Arial" w:cs="Times New Roman"/>
          <w:sz w:val="20"/>
          <w:szCs w:val="24"/>
        </w:rPr>
      </w:pPr>
    </w:p>
    <w:p w:rsidR="00B626FC" w:rsidRPr="00B626FC" w:rsidRDefault="00B626FC" w:rsidP="00B626FC">
      <w:pPr>
        <w:spacing w:after="0" w:line="240" w:lineRule="auto"/>
        <w:ind w:left="2160" w:hanging="990"/>
        <w:rPr>
          <w:rFonts w:ascii="Arial" w:eastAsia="Calibri" w:hAnsi="Arial" w:cs="Times New Roman"/>
          <w:sz w:val="20"/>
          <w:szCs w:val="24"/>
        </w:rPr>
      </w:pPr>
    </w:p>
    <w:p w:rsidR="00B626FC" w:rsidRPr="00B626FC" w:rsidRDefault="00B626FC" w:rsidP="00B626FC">
      <w:pPr>
        <w:spacing w:after="0" w:line="240" w:lineRule="auto"/>
        <w:ind w:left="2160" w:hanging="990"/>
        <w:rPr>
          <w:rFonts w:ascii="Arial" w:eastAsia="Calibri" w:hAnsi="Arial" w:cs="Times New Roman"/>
          <w:sz w:val="20"/>
          <w:szCs w:val="24"/>
        </w:rPr>
      </w:pPr>
    </w:p>
    <w:p w:rsidR="00B626FC" w:rsidRPr="00B626FC" w:rsidRDefault="00B626FC" w:rsidP="00B626FC">
      <w:pPr>
        <w:spacing w:line="240" w:lineRule="auto"/>
        <w:rPr>
          <w:rFonts w:ascii="Times New Roman" w:eastAsia="Times New Roman" w:hAnsi="Times New Roman" w:cs="Times New Roman"/>
          <w:sz w:val="24"/>
          <w:szCs w:val="24"/>
        </w:rPr>
      </w:pPr>
      <w:r w:rsidRPr="00B626FC">
        <w:rPr>
          <w:rFonts w:ascii="Arial" w:eastAsia="Times New Roman" w:hAnsi="Arial" w:cs="Arial"/>
          <w:iCs/>
          <w:color w:val="000000"/>
          <w:sz w:val="24"/>
          <w:szCs w:val="24"/>
        </w:rPr>
        <w:t xml:space="preserve">As you’re aware, Glendale Community College is in the middle of writing its Midterm Report for its regional accrediting agency (ACCJC).  Once that report is submitted to the accrediting commission next summer, we will be preparing for our next Accreditation Evaluation and site visit.  The College will have to supply evidence to substantiate that it meets each of the ACCJC's accreditation standards.  Meeting minutes are a primary example of such evidence.  </w:t>
      </w:r>
      <w:r w:rsidRPr="00B626FC">
        <w:rPr>
          <w:rFonts w:ascii="Arial" w:eastAsia="Times New Roman" w:hAnsi="Arial" w:cs="Arial"/>
          <w:b/>
          <w:bCs/>
          <w:iCs/>
          <w:color w:val="000000"/>
          <w:sz w:val="24"/>
          <w:szCs w:val="24"/>
        </w:rPr>
        <w:t>It is in keeping with good practice that your committee's minutes reflect the discussions, decision-making, actions, and outcomes that support accreditation standards relevant to your committee.</w:t>
      </w:r>
    </w:p>
    <w:p w:rsidR="00B626FC" w:rsidRPr="00B626FC" w:rsidRDefault="00B626FC" w:rsidP="00B626FC">
      <w:pPr>
        <w:spacing w:line="240" w:lineRule="auto"/>
        <w:rPr>
          <w:rFonts w:ascii="Times New Roman" w:eastAsia="Times New Roman" w:hAnsi="Times New Roman" w:cs="Times New Roman"/>
          <w:sz w:val="24"/>
          <w:szCs w:val="24"/>
        </w:rPr>
      </w:pPr>
      <w:r w:rsidRPr="00B626FC">
        <w:rPr>
          <w:rFonts w:ascii="Arial" w:eastAsia="Times New Roman" w:hAnsi="Arial" w:cs="Arial"/>
          <w:iCs/>
          <w:color w:val="000000"/>
          <w:sz w:val="24"/>
          <w:szCs w:val="24"/>
        </w:rPr>
        <w:t>Therefore, the Office of Research &amp; Planning is informing all Committees and college groups of accreditation standards that may fall under their purview (attached). We ask that the following occur:</w:t>
      </w:r>
    </w:p>
    <w:p w:rsidR="00B626FC" w:rsidRPr="00B626FC" w:rsidRDefault="00B626FC" w:rsidP="00B626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26FC">
        <w:rPr>
          <w:rFonts w:ascii="Arial" w:eastAsia="Times New Roman" w:hAnsi="Arial" w:cs="Arial"/>
          <w:iCs/>
          <w:sz w:val="24"/>
          <w:szCs w:val="24"/>
        </w:rPr>
        <w:t>At the beginning of each Fall Semester, please have all members review the Standards associated with your committee/group.</w:t>
      </w:r>
    </w:p>
    <w:p w:rsidR="00B626FC" w:rsidRPr="00B626FC" w:rsidRDefault="00B626FC" w:rsidP="00B626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626FC">
        <w:rPr>
          <w:rFonts w:ascii="Arial" w:eastAsia="Times New Roman" w:hAnsi="Arial" w:cs="Arial"/>
          <w:iCs/>
          <w:sz w:val="24"/>
          <w:szCs w:val="24"/>
        </w:rPr>
        <w:t>As your committee plans its work for the year and develops its agendas, ensure that discussions, decision-making, actions, and outcomes support accreditation standards associated with your committee.</w:t>
      </w:r>
    </w:p>
    <w:p w:rsidR="00B626FC" w:rsidRPr="00B626FC" w:rsidRDefault="00B626FC" w:rsidP="00B626FC">
      <w:pPr>
        <w:numPr>
          <w:ilvl w:val="0"/>
          <w:numId w:val="6"/>
        </w:numPr>
        <w:spacing w:after="0" w:line="240" w:lineRule="auto"/>
        <w:rPr>
          <w:rFonts w:ascii="Calibri" w:eastAsia="Times New Roman" w:hAnsi="Calibri" w:cs="Calibri"/>
          <w:sz w:val="24"/>
          <w:szCs w:val="24"/>
        </w:rPr>
      </w:pPr>
      <w:r w:rsidRPr="00B626FC">
        <w:rPr>
          <w:rFonts w:ascii="Arial" w:eastAsia="Times New Roman" w:hAnsi="Arial" w:cs="Arial"/>
          <w:iCs/>
          <w:sz w:val="24"/>
          <w:szCs w:val="24"/>
        </w:rPr>
        <w:t>When a matter is addressed in your committee/group that reflects a standard, please reference that standard in your meeting minutes.  For example, accreditation standard I.C.5 states, “The institution regularly reviews institutional policies, procedures, and publications to assure integrity in all representations of its mission, programs, and services.”  If a committee discusses their revision of an established procedure, their minutes could display “Accreditation Standard I.C.5” at the end of that item in the minutes.</w:t>
      </w:r>
    </w:p>
    <w:p w:rsidR="00B626FC" w:rsidRPr="00B626FC" w:rsidRDefault="00B626FC" w:rsidP="00B626FC">
      <w:pPr>
        <w:spacing w:line="240" w:lineRule="auto"/>
        <w:rPr>
          <w:rFonts w:ascii="Times New Roman" w:eastAsia="Times New Roman" w:hAnsi="Times New Roman" w:cs="Times New Roman"/>
          <w:sz w:val="24"/>
          <w:szCs w:val="24"/>
        </w:rPr>
      </w:pPr>
      <w:r w:rsidRPr="00B626FC">
        <w:rPr>
          <w:rFonts w:ascii="Arial" w:eastAsia="Times New Roman" w:hAnsi="Arial" w:cs="Arial"/>
          <w:iCs/>
          <w:color w:val="000000"/>
          <w:sz w:val="24"/>
          <w:szCs w:val="24"/>
        </w:rPr>
        <w:t>If you have any questions, please reach out to any of our team.  If you would like for one of us to attend your next meetings to help explain this new process, please reach out and we’ll do our best to make sure that one of us is present.</w:t>
      </w:r>
    </w:p>
    <w:p w:rsidR="00B626FC" w:rsidRPr="00B626FC" w:rsidRDefault="00B626FC" w:rsidP="00B626FC">
      <w:pPr>
        <w:spacing w:line="240" w:lineRule="auto"/>
        <w:rPr>
          <w:rFonts w:ascii="Times New Roman" w:eastAsia="Times New Roman" w:hAnsi="Times New Roman" w:cs="Times New Roman"/>
          <w:sz w:val="24"/>
          <w:szCs w:val="24"/>
        </w:rPr>
      </w:pPr>
      <w:r w:rsidRPr="00B626FC">
        <w:rPr>
          <w:rFonts w:ascii="Arial" w:eastAsia="Times New Roman" w:hAnsi="Arial" w:cs="Arial"/>
          <w:iCs/>
          <w:color w:val="000000"/>
          <w:sz w:val="24"/>
          <w:szCs w:val="24"/>
        </w:rPr>
        <w:t>As always, thank you for your help.</w:t>
      </w:r>
    </w:p>
    <w:p w:rsidR="00B626FC" w:rsidRPr="00B626FC" w:rsidRDefault="00B626FC" w:rsidP="00B626FC">
      <w:pPr>
        <w:spacing w:after="0" w:line="240" w:lineRule="auto"/>
        <w:ind w:left="2160" w:hanging="990"/>
        <w:rPr>
          <w:rFonts w:ascii="Arial" w:eastAsia="Calibri" w:hAnsi="Arial" w:cs="Times New Roman"/>
          <w:sz w:val="20"/>
          <w:szCs w:val="24"/>
        </w:rPr>
      </w:pPr>
    </w:p>
    <w:p w:rsidR="00B626FC" w:rsidRDefault="00B626FC">
      <w:r>
        <w:br w:type="page"/>
      </w:r>
    </w:p>
    <w:p w:rsidR="00E642EF" w:rsidRDefault="00526B36">
      <w:r>
        <w:lastRenderedPageBreak/>
        <w:t xml:space="preserve">ACCJC Standards for </w:t>
      </w:r>
      <w:r w:rsidR="00DA46E8">
        <w:rPr>
          <w:b/>
        </w:rPr>
        <w:t>Program Review</w:t>
      </w:r>
    </w:p>
    <w:p w:rsidR="00526B36" w:rsidRDefault="00526B36" w:rsidP="00526B36">
      <w:pPr>
        <w:pStyle w:val="Heading1"/>
        <w:spacing w:before="0"/>
        <w:ind w:right="297" w:hanging="1"/>
      </w:pPr>
      <w:r>
        <w:t>Standard I: Mission, Academic Quality and Institutional Effectiveness, and Integrity</w:t>
      </w:r>
    </w:p>
    <w:p w:rsidR="00526B36" w:rsidRDefault="00526B36" w:rsidP="00526B36">
      <w:pPr>
        <w:pStyle w:val="BodyText"/>
        <w:spacing w:before="122"/>
        <w:ind w:left="116" w:right="150" w:firstLine="3"/>
        <w:rPr>
          <w:spacing w:val="-4"/>
        </w:rPr>
      </w:pPr>
      <w:r>
        <w:t xml:space="preserve">The </w:t>
      </w:r>
      <w:r>
        <w:rPr>
          <w:spacing w:val="-3"/>
        </w:rPr>
        <w:t xml:space="preserve">institution </w:t>
      </w:r>
      <w:r>
        <w:t xml:space="preserve">demonstrates strong commitment to a mission </w:t>
      </w:r>
      <w:r>
        <w:rPr>
          <w:spacing w:val="-3"/>
        </w:rPr>
        <w:t xml:space="preserve">that </w:t>
      </w:r>
      <w:r>
        <w:t xml:space="preserve">emphasizes student learning and student achievement. Using analysis of </w:t>
      </w:r>
      <w:r>
        <w:rPr>
          <w:spacing w:val="-3"/>
        </w:rPr>
        <w:t xml:space="preserve">quantitative </w:t>
      </w:r>
      <w:r>
        <w:t xml:space="preserve">and qualitative data, </w:t>
      </w:r>
      <w:r>
        <w:rPr>
          <w:spacing w:val="-3"/>
        </w:rPr>
        <w:t xml:space="preserve">the institution </w:t>
      </w:r>
      <w:r>
        <w:t xml:space="preserve">continuously and </w:t>
      </w:r>
      <w:r>
        <w:rPr>
          <w:spacing w:val="-3"/>
        </w:rPr>
        <w:t xml:space="preserve">systematically </w:t>
      </w:r>
      <w:r>
        <w:t xml:space="preserve">evaluates, plans, </w:t>
      </w:r>
      <w:r>
        <w:rPr>
          <w:spacing w:val="-3"/>
        </w:rPr>
        <w:t xml:space="preserve">implements, </w:t>
      </w:r>
      <w:r>
        <w:t xml:space="preserve">and improves </w:t>
      </w:r>
      <w:r>
        <w:rPr>
          <w:spacing w:val="-3"/>
        </w:rPr>
        <w:t xml:space="preserve">the </w:t>
      </w:r>
      <w:r>
        <w:t xml:space="preserve">quality of its educational programs and services. The </w:t>
      </w:r>
      <w:r>
        <w:rPr>
          <w:spacing w:val="-3"/>
        </w:rPr>
        <w:t xml:space="preserve">institution </w:t>
      </w:r>
      <w:r>
        <w:t xml:space="preserve">demonstrates integrity in </w:t>
      </w:r>
      <w:r>
        <w:rPr>
          <w:spacing w:val="-3"/>
        </w:rPr>
        <w:t xml:space="preserve">all </w:t>
      </w:r>
      <w:r>
        <w:t xml:space="preserve">policies, </w:t>
      </w:r>
      <w:r>
        <w:rPr>
          <w:spacing w:val="-3"/>
        </w:rPr>
        <w:t xml:space="preserve">actions, </w:t>
      </w:r>
      <w:r>
        <w:t xml:space="preserve">and </w:t>
      </w:r>
      <w:r>
        <w:rPr>
          <w:spacing w:val="-3"/>
        </w:rPr>
        <w:t xml:space="preserve">communication. </w:t>
      </w:r>
      <w:r>
        <w:t xml:space="preserve">The administration, faculty, staff, and governing board members act honestly, </w:t>
      </w:r>
      <w:r>
        <w:rPr>
          <w:spacing w:val="-3"/>
        </w:rPr>
        <w:t xml:space="preserve">ethically, </w:t>
      </w:r>
      <w:r>
        <w:t xml:space="preserve">and fairly in the performance of their </w:t>
      </w:r>
      <w:r>
        <w:rPr>
          <w:spacing w:val="-4"/>
        </w:rPr>
        <w:t>duties.</w:t>
      </w:r>
    </w:p>
    <w:p w:rsidR="00526B36" w:rsidRDefault="00526B36" w:rsidP="00526B36">
      <w:pPr>
        <w:pStyle w:val="BodyText"/>
        <w:spacing w:before="122"/>
        <w:ind w:left="116" w:right="150" w:firstLine="3"/>
      </w:pPr>
    </w:p>
    <w:p w:rsidR="00DA46E8" w:rsidRDefault="00DA46E8" w:rsidP="00526B36">
      <w:pPr>
        <w:widowControl w:val="0"/>
        <w:tabs>
          <w:tab w:val="left" w:pos="1199"/>
          <w:tab w:val="left" w:pos="1200"/>
        </w:tabs>
        <w:autoSpaceDE w:val="0"/>
        <w:autoSpaceDN w:val="0"/>
        <w:spacing w:before="1" w:after="0" w:line="240" w:lineRule="auto"/>
        <w:ind w:right="182"/>
        <w:rPr>
          <w:b/>
        </w:rPr>
      </w:pPr>
      <w:r>
        <w:rPr>
          <w:b/>
        </w:rPr>
        <w:t>A. Mission</w:t>
      </w:r>
    </w:p>
    <w:p w:rsidR="00DA46E8" w:rsidRDefault="00DA46E8" w:rsidP="00526B36">
      <w:pPr>
        <w:widowControl w:val="0"/>
        <w:tabs>
          <w:tab w:val="left" w:pos="1199"/>
          <w:tab w:val="left" w:pos="1200"/>
        </w:tabs>
        <w:autoSpaceDE w:val="0"/>
        <w:autoSpaceDN w:val="0"/>
        <w:spacing w:before="1" w:after="0" w:line="240" w:lineRule="auto"/>
        <w:ind w:right="182"/>
        <w:rPr>
          <w:b/>
        </w:rPr>
      </w:pPr>
    </w:p>
    <w:p w:rsidR="00DA46E8" w:rsidRPr="00DA46E8" w:rsidRDefault="00DA46E8" w:rsidP="00526B36">
      <w:pPr>
        <w:widowControl w:val="0"/>
        <w:tabs>
          <w:tab w:val="left" w:pos="1199"/>
          <w:tab w:val="left" w:pos="1200"/>
        </w:tabs>
        <w:autoSpaceDE w:val="0"/>
        <w:autoSpaceDN w:val="0"/>
        <w:spacing w:before="1" w:after="0" w:line="240" w:lineRule="auto"/>
        <w:ind w:right="182"/>
      </w:pPr>
      <w:r>
        <w:t xml:space="preserve">3. </w:t>
      </w:r>
      <w:r w:rsidRPr="00DA46E8">
        <w:t>The institution’s programs and services are aligned with its mission. The mission guides institutional decision-making, planning, and resource allocation and informs institutional goals for student learning and achievement.</w:t>
      </w:r>
    </w:p>
    <w:p w:rsidR="00DA46E8" w:rsidRDefault="00DA46E8" w:rsidP="00526B36">
      <w:pPr>
        <w:widowControl w:val="0"/>
        <w:tabs>
          <w:tab w:val="left" w:pos="1199"/>
          <w:tab w:val="left" w:pos="1200"/>
        </w:tabs>
        <w:autoSpaceDE w:val="0"/>
        <w:autoSpaceDN w:val="0"/>
        <w:spacing w:before="1" w:after="0" w:line="240" w:lineRule="auto"/>
        <w:ind w:right="182"/>
        <w:rPr>
          <w:b/>
        </w:rPr>
      </w:pPr>
    </w:p>
    <w:p w:rsidR="00526B36" w:rsidRPr="00526B36" w:rsidRDefault="00526B36" w:rsidP="00526B36">
      <w:pPr>
        <w:widowControl w:val="0"/>
        <w:tabs>
          <w:tab w:val="left" w:pos="1199"/>
          <w:tab w:val="left" w:pos="1200"/>
        </w:tabs>
        <w:autoSpaceDE w:val="0"/>
        <w:autoSpaceDN w:val="0"/>
        <w:spacing w:before="1" w:after="0" w:line="240" w:lineRule="auto"/>
        <w:ind w:right="182"/>
        <w:rPr>
          <w:b/>
        </w:rPr>
      </w:pPr>
      <w:r w:rsidRPr="00526B36">
        <w:rPr>
          <w:b/>
        </w:rPr>
        <w:t>B. Assuring Academic Quality and Institutional Effectiveness</w:t>
      </w:r>
    </w:p>
    <w:p w:rsidR="00526B36" w:rsidRDefault="00526B36" w:rsidP="00526B36">
      <w:pPr>
        <w:pStyle w:val="ListParagraph"/>
        <w:widowControl w:val="0"/>
        <w:tabs>
          <w:tab w:val="left" w:pos="1199"/>
          <w:tab w:val="left" w:pos="1200"/>
        </w:tabs>
        <w:autoSpaceDE w:val="0"/>
        <w:autoSpaceDN w:val="0"/>
        <w:spacing w:after="0" w:line="240" w:lineRule="auto"/>
        <w:ind w:left="1199" w:right="538"/>
        <w:contextualSpacing w:val="0"/>
      </w:pPr>
      <w:r>
        <w:tab/>
      </w:r>
    </w:p>
    <w:p w:rsidR="00DA46E8" w:rsidRDefault="00DA46E8" w:rsidP="00A21265">
      <w:pPr>
        <w:widowControl w:val="0"/>
        <w:autoSpaceDE w:val="0"/>
        <w:autoSpaceDN w:val="0"/>
        <w:spacing w:before="74" w:after="0" w:line="240" w:lineRule="auto"/>
        <w:outlineLvl w:val="0"/>
      </w:pPr>
      <w:r>
        <w:t xml:space="preserve">5. </w:t>
      </w:r>
      <w:r w:rsidRPr="00DA46E8">
        <w:t>The institution assesses accomplishment of its mission through program review and evaluation of goals and objectives, student learning outcomes, and student achievement. Quantitative and qualitative data are disaggregated for analysis by program type and mode of delivery.</w:t>
      </w:r>
    </w:p>
    <w:p w:rsidR="00DA46E8" w:rsidRDefault="00DA46E8" w:rsidP="00A21265">
      <w:pPr>
        <w:widowControl w:val="0"/>
        <w:autoSpaceDE w:val="0"/>
        <w:autoSpaceDN w:val="0"/>
        <w:spacing w:before="74" w:after="0" w:line="240" w:lineRule="auto"/>
        <w:outlineLvl w:val="0"/>
      </w:pPr>
    </w:p>
    <w:p w:rsidR="00DA46E8" w:rsidRDefault="00DA46E8" w:rsidP="00A21265">
      <w:pPr>
        <w:widowControl w:val="0"/>
        <w:autoSpaceDE w:val="0"/>
        <w:autoSpaceDN w:val="0"/>
        <w:spacing w:before="74" w:after="0" w:line="240" w:lineRule="auto"/>
        <w:outlineLvl w:val="0"/>
      </w:pPr>
      <w:r>
        <w:t xml:space="preserve">9. </w:t>
      </w:r>
      <w:r w:rsidRPr="00DA46E8">
        <w:t>The institution engages in continuous, broad based, systematic evaluation and planning. The institution integrates program review, planning, and resource allocation into a comprehensive process that leads to accomplishment of its mission and improvement of institutional effectiveness and academic quality. Institutional planning addresses short- and long-range needs for educational programs and services and for human, physical, technology, and financial resources. (ER 19)</w:t>
      </w:r>
    </w:p>
    <w:p w:rsidR="00DA46E8" w:rsidRDefault="00DA46E8" w:rsidP="00A21265">
      <w:pPr>
        <w:widowControl w:val="0"/>
        <w:autoSpaceDE w:val="0"/>
        <w:autoSpaceDN w:val="0"/>
        <w:spacing w:before="74" w:after="0" w:line="240" w:lineRule="auto"/>
        <w:outlineLvl w:val="0"/>
      </w:pPr>
    </w:p>
    <w:p w:rsidR="00A21265" w:rsidRPr="00A21265" w:rsidRDefault="00A21265" w:rsidP="00A21265">
      <w:pPr>
        <w:widowControl w:val="0"/>
        <w:autoSpaceDE w:val="0"/>
        <w:autoSpaceDN w:val="0"/>
        <w:spacing w:before="74" w:after="0" w:line="240" w:lineRule="auto"/>
        <w:outlineLvl w:val="0"/>
        <w:rPr>
          <w:rFonts w:ascii="Trebuchet MS" w:eastAsia="Trebuchet MS" w:hAnsi="Trebuchet MS" w:cs="Trebuchet MS"/>
          <w:b/>
          <w:bCs/>
          <w:sz w:val="28"/>
          <w:szCs w:val="28"/>
          <w:lang w:bidi="en-US"/>
        </w:rPr>
      </w:pPr>
      <w:r w:rsidRPr="00A21265">
        <w:rPr>
          <w:rFonts w:ascii="Trebuchet MS" w:eastAsia="Trebuchet MS" w:hAnsi="Trebuchet MS" w:cs="Trebuchet MS"/>
          <w:b/>
          <w:bCs/>
          <w:sz w:val="28"/>
          <w:szCs w:val="28"/>
          <w:lang w:bidi="en-US"/>
        </w:rPr>
        <w:t>Standard II: Student Learning Programs and Support Services</w:t>
      </w:r>
    </w:p>
    <w:p w:rsidR="00A21265" w:rsidRPr="00A21265" w:rsidRDefault="00A21265" w:rsidP="00A21265">
      <w:pPr>
        <w:widowControl w:val="0"/>
        <w:autoSpaceDE w:val="0"/>
        <w:autoSpaceDN w:val="0"/>
        <w:spacing w:before="120" w:after="0" w:line="240" w:lineRule="auto"/>
        <w:ind w:right="150"/>
        <w:rPr>
          <w:rFonts w:ascii="Trebuchet MS" w:eastAsia="Trebuchet MS" w:hAnsi="Trebuchet MS" w:cs="Trebuchet MS"/>
          <w:lang w:bidi="en-US"/>
        </w:rPr>
      </w:pPr>
      <w:r w:rsidRPr="00A21265">
        <w:rPr>
          <w:rFonts w:ascii="Trebuchet MS" w:eastAsia="Trebuchet MS" w:hAnsi="Trebuchet MS" w:cs="Trebuchet MS"/>
          <w:lang w:bidi="en-US"/>
        </w:rPr>
        <w:t xml:space="preserve">The </w:t>
      </w:r>
      <w:r w:rsidRPr="00A21265">
        <w:rPr>
          <w:rFonts w:ascii="Trebuchet MS" w:eastAsia="Trebuchet MS" w:hAnsi="Trebuchet MS" w:cs="Trebuchet MS"/>
          <w:spacing w:val="-3"/>
          <w:lang w:bidi="en-US"/>
        </w:rPr>
        <w:t xml:space="preserve">institution </w:t>
      </w:r>
      <w:r w:rsidRPr="00A21265">
        <w:rPr>
          <w:rFonts w:ascii="Trebuchet MS" w:eastAsia="Trebuchet MS" w:hAnsi="Trebuchet MS" w:cs="Trebuchet MS"/>
          <w:lang w:bidi="en-US"/>
        </w:rPr>
        <w:t xml:space="preserve">offers instructional programs, library and learning support services, and student support services aligned </w:t>
      </w:r>
      <w:r w:rsidRPr="00A21265">
        <w:rPr>
          <w:rFonts w:ascii="Trebuchet MS" w:eastAsia="Trebuchet MS" w:hAnsi="Trebuchet MS" w:cs="Trebuchet MS"/>
          <w:spacing w:val="-3"/>
          <w:lang w:bidi="en-US"/>
        </w:rPr>
        <w:t xml:space="preserve">with </w:t>
      </w:r>
      <w:r w:rsidRPr="00A21265">
        <w:rPr>
          <w:rFonts w:ascii="Trebuchet MS" w:eastAsia="Trebuchet MS" w:hAnsi="Trebuchet MS" w:cs="Trebuchet MS"/>
          <w:lang w:bidi="en-US"/>
        </w:rPr>
        <w:t xml:space="preserve">its mission. The institution’s programs are conducted at levels of quality and rigor appropriate for higher </w:t>
      </w:r>
      <w:r w:rsidRPr="00A21265">
        <w:rPr>
          <w:rFonts w:ascii="Trebuchet MS" w:eastAsia="Trebuchet MS" w:hAnsi="Trebuchet MS" w:cs="Trebuchet MS"/>
          <w:spacing w:val="-3"/>
          <w:lang w:bidi="en-US"/>
        </w:rPr>
        <w:t xml:space="preserve">education. </w:t>
      </w:r>
      <w:r w:rsidRPr="00A21265">
        <w:rPr>
          <w:rFonts w:ascii="Trebuchet MS" w:eastAsia="Trebuchet MS" w:hAnsi="Trebuchet MS" w:cs="Trebuchet MS"/>
          <w:lang w:bidi="en-US"/>
        </w:rPr>
        <w:t xml:space="preserve">The institution assesses its </w:t>
      </w:r>
      <w:r w:rsidRPr="00A21265">
        <w:rPr>
          <w:rFonts w:ascii="Trebuchet MS" w:eastAsia="Trebuchet MS" w:hAnsi="Trebuchet MS" w:cs="Trebuchet MS"/>
          <w:spacing w:val="-4"/>
          <w:lang w:bidi="en-US"/>
        </w:rPr>
        <w:t xml:space="preserve">educational </w:t>
      </w:r>
      <w:r w:rsidRPr="00A21265">
        <w:rPr>
          <w:rFonts w:ascii="Trebuchet MS" w:eastAsia="Trebuchet MS" w:hAnsi="Trebuchet MS" w:cs="Trebuchet MS"/>
          <w:lang w:bidi="en-US"/>
        </w:rPr>
        <w:t xml:space="preserve">quality through </w:t>
      </w:r>
      <w:r w:rsidRPr="00A21265">
        <w:rPr>
          <w:rFonts w:ascii="Trebuchet MS" w:eastAsia="Trebuchet MS" w:hAnsi="Trebuchet MS" w:cs="Trebuchet MS"/>
          <w:spacing w:val="-3"/>
          <w:lang w:bidi="en-US"/>
        </w:rPr>
        <w:t xml:space="preserve">methods </w:t>
      </w:r>
      <w:r w:rsidRPr="00A21265">
        <w:rPr>
          <w:rFonts w:ascii="Trebuchet MS" w:eastAsia="Trebuchet MS" w:hAnsi="Trebuchet MS" w:cs="Trebuchet MS"/>
          <w:lang w:bidi="en-US"/>
        </w:rPr>
        <w:t xml:space="preserve">accepted in higher </w:t>
      </w:r>
      <w:r w:rsidRPr="00A21265">
        <w:rPr>
          <w:rFonts w:ascii="Trebuchet MS" w:eastAsia="Trebuchet MS" w:hAnsi="Trebuchet MS" w:cs="Trebuchet MS"/>
          <w:spacing w:val="-3"/>
          <w:lang w:bidi="en-US"/>
        </w:rPr>
        <w:t xml:space="preserve">education, </w:t>
      </w:r>
      <w:r w:rsidRPr="00A21265">
        <w:rPr>
          <w:rFonts w:ascii="Trebuchet MS" w:eastAsia="Trebuchet MS" w:hAnsi="Trebuchet MS" w:cs="Trebuchet MS"/>
          <w:lang w:bidi="en-US"/>
        </w:rPr>
        <w:t xml:space="preserve">makes the results of its assessments available to the public, and uses the results to improve </w:t>
      </w:r>
      <w:r w:rsidRPr="00A21265">
        <w:rPr>
          <w:rFonts w:ascii="Trebuchet MS" w:eastAsia="Trebuchet MS" w:hAnsi="Trebuchet MS" w:cs="Trebuchet MS"/>
          <w:spacing w:val="-3"/>
          <w:lang w:bidi="en-US"/>
        </w:rPr>
        <w:t xml:space="preserve">educational </w:t>
      </w:r>
      <w:r w:rsidRPr="00A21265">
        <w:rPr>
          <w:rFonts w:ascii="Trebuchet MS" w:eastAsia="Trebuchet MS" w:hAnsi="Trebuchet MS" w:cs="Trebuchet MS"/>
          <w:lang w:bidi="en-US"/>
        </w:rPr>
        <w:t xml:space="preserve">quality and </w:t>
      </w:r>
      <w:r w:rsidRPr="00A21265">
        <w:rPr>
          <w:rFonts w:ascii="Trebuchet MS" w:eastAsia="Trebuchet MS" w:hAnsi="Trebuchet MS" w:cs="Trebuchet MS"/>
          <w:spacing w:val="-3"/>
          <w:lang w:bidi="en-US"/>
        </w:rPr>
        <w:t xml:space="preserve">institutional </w:t>
      </w:r>
      <w:r w:rsidRPr="00A21265">
        <w:rPr>
          <w:rFonts w:ascii="Trebuchet MS" w:eastAsia="Trebuchet MS" w:hAnsi="Trebuchet MS" w:cs="Trebuchet MS"/>
          <w:lang w:bidi="en-US"/>
        </w:rPr>
        <w:t xml:space="preserve">effectiveness. The </w:t>
      </w:r>
      <w:r w:rsidRPr="00A21265">
        <w:rPr>
          <w:rFonts w:ascii="Trebuchet MS" w:eastAsia="Trebuchet MS" w:hAnsi="Trebuchet MS" w:cs="Trebuchet MS"/>
          <w:spacing w:val="-3"/>
          <w:lang w:bidi="en-US"/>
        </w:rPr>
        <w:t xml:space="preserve">institution </w:t>
      </w:r>
      <w:r w:rsidRPr="00A21265">
        <w:rPr>
          <w:rFonts w:ascii="Trebuchet MS" w:eastAsia="Trebuchet MS" w:hAnsi="Trebuchet MS" w:cs="Trebuchet MS"/>
          <w:lang w:bidi="en-US"/>
        </w:rPr>
        <w:t xml:space="preserve">defines and incorporates </w:t>
      </w:r>
      <w:r w:rsidRPr="00A21265">
        <w:rPr>
          <w:rFonts w:ascii="Trebuchet MS" w:eastAsia="Trebuchet MS" w:hAnsi="Trebuchet MS" w:cs="Trebuchet MS"/>
          <w:spacing w:val="-3"/>
          <w:lang w:bidi="en-US"/>
        </w:rPr>
        <w:t xml:space="preserve">into </w:t>
      </w:r>
      <w:r w:rsidRPr="00A21265">
        <w:rPr>
          <w:rFonts w:ascii="Trebuchet MS" w:eastAsia="Trebuchet MS" w:hAnsi="Trebuchet MS" w:cs="Trebuchet MS"/>
          <w:lang w:bidi="en-US"/>
        </w:rPr>
        <w:t xml:space="preserve">all of its degree programs a </w:t>
      </w:r>
      <w:r w:rsidRPr="00A21265">
        <w:rPr>
          <w:rFonts w:ascii="Trebuchet MS" w:eastAsia="Trebuchet MS" w:hAnsi="Trebuchet MS" w:cs="Trebuchet MS"/>
          <w:spacing w:val="-3"/>
          <w:lang w:bidi="en-US"/>
        </w:rPr>
        <w:t xml:space="preserve">substantial </w:t>
      </w:r>
      <w:r w:rsidRPr="00A21265">
        <w:rPr>
          <w:rFonts w:ascii="Trebuchet MS" w:eastAsia="Trebuchet MS" w:hAnsi="Trebuchet MS" w:cs="Trebuchet MS"/>
          <w:lang w:bidi="en-US"/>
        </w:rPr>
        <w:t xml:space="preserve">component of general </w:t>
      </w:r>
      <w:r w:rsidRPr="00A21265">
        <w:rPr>
          <w:rFonts w:ascii="Trebuchet MS" w:eastAsia="Trebuchet MS" w:hAnsi="Trebuchet MS" w:cs="Trebuchet MS"/>
          <w:spacing w:val="-3"/>
          <w:lang w:bidi="en-US"/>
        </w:rPr>
        <w:t xml:space="preserve">education </w:t>
      </w:r>
      <w:r w:rsidRPr="00A21265">
        <w:rPr>
          <w:rFonts w:ascii="Trebuchet MS" w:eastAsia="Trebuchet MS" w:hAnsi="Trebuchet MS" w:cs="Trebuchet MS"/>
          <w:lang w:bidi="en-US"/>
        </w:rPr>
        <w:t xml:space="preserve">designed to ensure </w:t>
      </w:r>
      <w:r w:rsidRPr="00A21265">
        <w:rPr>
          <w:rFonts w:ascii="Trebuchet MS" w:eastAsia="Trebuchet MS" w:hAnsi="Trebuchet MS" w:cs="Trebuchet MS"/>
          <w:spacing w:val="-4"/>
          <w:lang w:bidi="en-US"/>
        </w:rPr>
        <w:t xml:space="preserve">breadth </w:t>
      </w:r>
      <w:r w:rsidRPr="00A21265">
        <w:rPr>
          <w:rFonts w:ascii="Trebuchet MS" w:eastAsia="Trebuchet MS" w:hAnsi="Trebuchet MS" w:cs="Trebuchet MS"/>
          <w:lang w:bidi="en-US"/>
        </w:rPr>
        <w:t xml:space="preserve">of knowledge and to promote </w:t>
      </w:r>
      <w:r w:rsidRPr="00A21265">
        <w:rPr>
          <w:rFonts w:ascii="Trebuchet MS" w:eastAsia="Trebuchet MS" w:hAnsi="Trebuchet MS" w:cs="Trebuchet MS"/>
          <w:spacing w:val="-3"/>
          <w:lang w:bidi="en-US"/>
        </w:rPr>
        <w:t xml:space="preserve">intellectual inquiry. </w:t>
      </w:r>
      <w:r w:rsidRPr="00A21265">
        <w:rPr>
          <w:rFonts w:ascii="Trebuchet MS" w:eastAsia="Trebuchet MS" w:hAnsi="Trebuchet MS" w:cs="Trebuchet MS"/>
          <w:lang w:bidi="en-US"/>
        </w:rPr>
        <w:t xml:space="preserve">The provisions of </w:t>
      </w:r>
      <w:r w:rsidRPr="00A21265">
        <w:rPr>
          <w:rFonts w:ascii="Trebuchet MS" w:eastAsia="Trebuchet MS" w:hAnsi="Trebuchet MS" w:cs="Trebuchet MS"/>
          <w:spacing w:val="-3"/>
          <w:lang w:bidi="en-US"/>
        </w:rPr>
        <w:t xml:space="preserve">this </w:t>
      </w:r>
      <w:r w:rsidRPr="00A21265">
        <w:rPr>
          <w:rFonts w:ascii="Trebuchet MS" w:eastAsia="Trebuchet MS" w:hAnsi="Trebuchet MS" w:cs="Trebuchet MS"/>
          <w:lang w:bidi="en-US"/>
        </w:rPr>
        <w:t>standard are broadly applicable to all instructional programs and student and learning support services offered in the name of the institution.</w:t>
      </w:r>
    </w:p>
    <w:p w:rsidR="00526B36" w:rsidRDefault="00526B36" w:rsidP="00526B36">
      <w:pPr>
        <w:widowControl w:val="0"/>
        <w:tabs>
          <w:tab w:val="left" w:pos="1199"/>
          <w:tab w:val="left" w:pos="1200"/>
        </w:tabs>
        <w:autoSpaceDE w:val="0"/>
        <w:autoSpaceDN w:val="0"/>
        <w:spacing w:after="0" w:line="240" w:lineRule="auto"/>
        <w:ind w:right="538"/>
      </w:pPr>
    </w:p>
    <w:p w:rsidR="00A21265" w:rsidRDefault="00A21265" w:rsidP="00A21265">
      <w:pPr>
        <w:widowControl w:val="0"/>
        <w:tabs>
          <w:tab w:val="left" w:pos="1199"/>
          <w:tab w:val="left" w:pos="1200"/>
        </w:tabs>
        <w:autoSpaceDE w:val="0"/>
        <w:autoSpaceDN w:val="0"/>
        <w:spacing w:before="1" w:after="0" w:line="240" w:lineRule="auto"/>
        <w:ind w:right="182"/>
        <w:rPr>
          <w:b/>
        </w:rPr>
      </w:pPr>
      <w:r>
        <w:rPr>
          <w:b/>
        </w:rPr>
        <w:t>A</w:t>
      </w:r>
      <w:r w:rsidRPr="00526B36">
        <w:rPr>
          <w:b/>
        </w:rPr>
        <w:t xml:space="preserve">. </w:t>
      </w:r>
      <w:r>
        <w:rPr>
          <w:b/>
        </w:rPr>
        <w:t>Instructional Programs</w:t>
      </w:r>
    </w:p>
    <w:p w:rsidR="00A21265" w:rsidRDefault="00A21265" w:rsidP="00A21265">
      <w:pPr>
        <w:widowControl w:val="0"/>
        <w:tabs>
          <w:tab w:val="left" w:pos="1199"/>
          <w:tab w:val="left" w:pos="1200"/>
        </w:tabs>
        <w:autoSpaceDE w:val="0"/>
        <w:autoSpaceDN w:val="0"/>
        <w:spacing w:before="1" w:after="0" w:line="240" w:lineRule="auto"/>
        <w:ind w:right="182"/>
        <w:rPr>
          <w:b/>
        </w:rPr>
      </w:pPr>
    </w:p>
    <w:p w:rsidR="00DA46E8" w:rsidRDefault="00DA46E8" w:rsidP="00A21265">
      <w:pPr>
        <w:widowControl w:val="0"/>
        <w:tabs>
          <w:tab w:val="left" w:pos="1199"/>
          <w:tab w:val="left" w:pos="1200"/>
        </w:tabs>
        <w:autoSpaceDE w:val="0"/>
        <w:autoSpaceDN w:val="0"/>
        <w:spacing w:before="1" w:after="0" w:line="240" w:lineRule="auto"/>
        <w:ind w:right="182"/>
      </w:pPr>
      <w:r>
        <w:t xml:space="preserve">2. </w:t>
      </w:r>
      <w:r w:rsidRPr="00DA46E8">
        <w:t>(Applicable to institutions with comprehensive rev</w:t>
      </w:r>
      <w:r>
        <w:t xml:space="preserve">iews scheduled after </w:t>
      </w:r>
      <w:proofErr w:type="gramStart"/>
      <w:r>
        <w:t>Fall</w:t>
      </w:r>
      <w:proofErr w:type="gramEnd"/>
      <w:r>
        <w:t xml:space="preserve"> 2019.</w:t>
      </w:r>
      <w:r w:rsidRPr="00DA46E8">
        <w:t>) Faculty, including full time, part time, and adjunct faculty, regularly engage in ensuring that the content and methods of instruction meet generally accepted academic and professional standards and expectations. In exercising collective ownership over the design and improvement of the learning experience, faculty conduct systematic and inclusive program review, using student achievement data, in order to continuously improve instructional courses and programs, thereby ensuring program currency, improving teaching and learning strategies, and promoting student success.</w:t>
      </w:r>
    </w:p>
    <w:p w:rsidR="00DA46E8" w:rsidRDefault="00DA46E8" w:rsidP="00A21265">
      <w:pPr>
        <w:widowControl w:val="0"/>
        <w:tabs>
          <w:tab w:val="left" w:pos="1199"/>
          <w:tab w:val="left" w:pos="1200"/>
        </w:tabs>
        <w:autoSpaceDE w:val="0"/>
        <w:autoSpaceDN w:val="0"/>
        <w:spacing w:before="1" w:after="0" w:line="240" w:lineRule="auto"/>
        <w:ind w:right="182"/>
      </w:pPr>
    </w:p>
    <w:p w:rsidR="00DA46E8" w:rsidRDefault="00DA46E8" w:rsidP="00A21265">
      <w:pPr>
        <w:widowControl w:val="0"/>
        <w:tabs>
          <w:tab w:val="left" w:pos="1199"/>
          <w:tab w:val="left" w:pos="1200"/>
        </w:tabs>
        <w:autoSpaceDE w:val="0"/>
        <w:autoSpaceDN w:val="0"/>
        <w:spacing w:before="1" w:after="0" w:line="240" w:lineRule="auto"/>
        <w:ind w:right="182"/>
      </w:pPr>
      <w:r>
        <w:t xml:space="preserve">16. </w:t>
      </w:r>
      <w:r w:rsidRPr="00DA46E8">
        <w:t>The institution regularly evaluates and improves the quality and currency of all instructional programs offered in the name of the institution, including collegiate, pre-collegiate, career-technical, and continuing and community education courses and programs, regardless of delivery mode or location. The institution systematically strives to improve programs and courses to enhance learning outcomes and achievement for students.</w:t>
      </w:r>
    </w:p>
    <w:p w:rsidR="00DA46E8" w:rsidRDefault="00DA46E8" w:rsidP="00A21265">
      <w:pPr>
        <w:widowControl w:val="0"/>
        <w:tabs>
          <w:tab w:val="left" w:pos="1199"/>
          <w:tab w:val="left" w:pos="1200"/>
        </w:tabs>
        <w:autoSpaceDE w:val="0"/>
        <w:autoSpaceDN w:val="0"/>
        <w:spacing w:before="1" w:after="0" w:line="240" w:lineRule="auto"/>
        <w:ind w:right="182"/>
      </w:pPr>
    </w:p>
    <w:p w:rsidR="00DA46E8" w:rsidRPr="00DA46E8" w:rsidRDefault="00DA46E8" w:rsidP="00A21265">
      <w:pPr>
        <w:widowControl w:val="0"/>
        <w:tabs>
          <w:tab w:val="left" w:pos="1199"/>
          <w:tab w:val="left" w:pos="1200"/>
        </w:tabs>
        <w:autoSpaceDE w:val="0"/>
        <w:autoSpaceDN w:val="0"/>
        <w:spacing w:before="1" w:after="0" w:line="240" w:lineRule="auto"/>
        <w:ind w:right="182"/>
        <w:rPr>
          <w:b/>
        </w:rPr>
      </w:pPr>
      <w:r w:rsidRPr="00DA46E8">
        <w:rPr>
          <w:b/>
        </w:rPr>
        <w:t>B. Library and Learning Support Services</w:t>
      </w:r>
    </w:p>
    <w:p w:rsidR="00DA46E8" w:rsidRDefault="00DA46E8" w:rsidP="00A21265">
      <w:pPr>
        <w:widowControl w:val="0"/>
        <w:tabs>
          <w:tab w:val="left" w:pos="1199"/>
          <w:tab w:val="left" w:pos="1200"/>
        </w:tabs>
        <w:autoSpaceDE w:val="0"/>
        <w:autoSpaceDN w:val="0"/>
        <w:spacing w:before="1" w:after="0" w:line="240" w:lineRule="auto"/>
        <w:ind w:right="182"/>
      </w:pPr>
    </w:p>
    <w:p w:rsidR="00DA46E8" w:rsidRDefault="00DA46E8" w:rsidP="00A21265">
      <w:pPr>
        <w:widowControl w:val="0"/>
        <w:tabs>
          <w:tab w:val="left" w:pos="1199"/>
          <w:tab w:val="left" w:pos="1200"/>
        </w:tabs>
        <w:autoSpaceDE w:val="0"/>
        <w:autoSpaceDN w:val="0"/>
        <w:spacing w:before="1" w:after="0" w:line="240" w:lineRule="auto"/>
        <w:ind w:right="182"/>
      </w:pPr>
      <w:r>
        <w:t xml:space="preserve">3. </w:t>
      </w:r>
      <w:r w:rsidRPr="00DA46E8">
        <w:t>The institution evaluates library and other learning support services to assure their adequacy in meeting identified student needs. Evaluation of these services includes evidence that they contribute to the attainment of student learning outcomes. The institution uses the results of these evaluations as the basis for improvement.</w:t>
      </w:r>
    </w:p>
    <w:p w:rsidR="00DA46E8" w:rsidRDefault="00DA46E8" w:rsidP="00A21265">
      <w:pPr>
        <w:widowControl w:val="0"/>
        <w:tabs>
          <w:tab w:val="left" w:pos="1199"/>
          <w:tab w:val="left" w:pos="1200"/>
        </w:tabs>
        <w:autoSpaceDE w:val="0"/>
        <w:autoSpaceDN w:val="0"/>
        <w:spacing w:before="1" w:after="0" w:line="240" w:lineRule="auto"/>
        <w:ind w:right="182"/>
      </w:pPr>
    </w:p>
    <w:p w:rsidR="00DA46E8" w:rsidRPr="00DA46E8" w:rsidRDefault="00DA46E8" w:rsidP="00A21265">
      <w:pPr>
        <w:widowControl w:val="0"/>
        <w:tabs>
          <w:tab w:val="left" w:pos="1199"/>
          <w:tab w:val="left" w:pos="1200"/>
        </w:tabs>
        <w:autoSpaceDE w:val="0"/>
        <w:autoSpaceDN w:val="0"/>
        <w:spacing w:before="1" w:after="0" w:line="240" w:lineRule="auto"/>
        <w:ind w:right="182"/>
        <w:rPr>
          <w:b/>
        </w:rPr>
      </w:pPr>
      <w:r w:rsidRPr="00DA46E8">
        <w:rPr>
          <w:b/>
        </w:rPr>
        <w:t>C. Student Support Services</w:t>
      </w:r>
    </w:p>
    <w:p w:rsidR="00DA46E8" w:rsidRDefault="00DA46E8" w:rsidP="00A21265">
      <w:pPr>
        <w:widowControl w:val="0"/>
        <w:tabs>
          <w:tab w:val="left" w:pos="1199"/>
          <w:tab w:val="left" w:pos="1200"/>
        </w:tabs>
        <w:autoSpaceDE w:val="0"/>
        <w:autoSpaceDN w:val="0"/>
        <w:spacing w:before="1" w:after="0" w:line="240" w:lineRule="auto"/>
        <w:ind w:right="182"/>
      </w:pPr>
    </w:p>
    <w:p w:rsidR="00DA46E8" w:rsidRPr="00A21265" w:rsidRDefault="00DA46E8" w:rsidP="00A21265">
      <w:pPr>
        <w:widowControl w:val="0"/>
        <w:tabs>
          <w:tab w:val="left" w:pos="1199"/>
          <w:tab w:val="left" w:pos="1200"/>
        </w:tabs>
        <w:autoSpaceDE w:val="0"/>
        <w:autoSpaceDN w:val="0"/>
        <w:spacing w:before="1" w:after="0" w:line="240" w:lineRule="auto"/>
        <w:ind w:right="182"/>
      </w:pPr>
      <w:r>
        <w:t xml:space="preserve">2. </w:t>
      </w:r>
      <w:r w:rsidRPr="00DA46E8">
        <w:t>The institution identifies and assesses learning support outcomes for its student population and provides appropriate student support services and programs to achieve those outcomes. The institution uses assessment data to continuously improve student support programs and services.</w:t>
      </w:r>
    </w:p>
    <w:p w:rsidR="00526B36" w:rsidRDefault="00526B36" w:rsidP="00526B36">
      <w:pPr>
        <w:widowControl w:val="0"/>
        <w:tabs>
          <w:tab w:val="left" w:pos="1199"/>
          <w:tab w:val="left" w:pos="1200"/>
        </w:tabs>
        <w:autoSpaceDE w:val="0"/>
        <w:autoSpaceDN w:val="0"/>
        <w:spacing w:after="0" w:line="240" w:lineRule="auto"/>
        <w:ind w:right="538"/>
      </w:pPr>
    </w:p>
    <w:p w:rsidR="00526B36" w:rsidRDefault="00526B36" w:rsidP="00526B36">
      <w:pPr>
        <w:pStyle w:val="Heading1"/>
        <w:ind w:left="0"/>
      </w:pPr>
      <w:r>
        <w:t>Standard III: Resources</w:t>
      </w:r>
    </w:p>
    <w:p w:rsidR="00526B36" w:rsidRDefault="00526B36" w:rsidP="00526B36">
      <w:pPr>
        <w:pStyle w:val="BodyText"/>
        <w:spacing w:before="120"/>
        <w:ind w:right="150"/>
      </w:pPr>
      <w:r>
        <w:t>The institution effectively uses its human, physical, technology, and financial resources to achieve its mission and to improve academic quality and institutional effectiveness. Accredited colleges in multi-college systems may be organized so that responsibility for resources, allocation of resources, and planning rests with the district/system. In such cases, the district/system is responsible for meeting the Standards, and an evaluation of its performance is reflected in the accredited status of the institution(s).</w:t>
      </w:r>
    </w:p>
    <w:p w:rsidR="00526B36" w:rsidRDefault="00526B36" w:rsidP="00526B36">
      <w:pPr>
        <w:widowControl w:val="0"/>
        <w:tabs>
          <w:tab w:val="left" w:pos="1199"/>
          <w:tab w:val="left" w:pos="1200"/>
        </w:tabs>
        <w:autoSpaceDE w:val="0"/>
        <w:autoSpaceDN w:val="0"/>
        <w:spacing w:after="0" w:line="240" w:lineRule="auto"/>
        <w:ind w:right="538"/>
      </w:pPr>
    </w:p>
    <w:p w:rsidR="00526B36" w:rsidRPr="00526B36" w:rsidRDefault="00DA46E8" w:rsidP="00526B36">
      <w:pPr>
        <w:widowControl w:val="0"/>
        <w:tabs>
          <w:tab w:val="left" w:pos="1199"/>
          <w:tab w:val="left" w:pos="1200"/>
        </w:tabs>
        <w:autoSpaceDE w:val="0"/>
        <w:autoSpaceDN w:val="0"/>
        <w:spacing w:after="0" w:line="240" w:lineRule="auto"/>
        <w:ind w:right="538"/>
        <w:rPr>
          <w:b/>
        </w:rPr>
      </w:pPr>
      <w:r>
        <w:rPr>
          <w:b/>
        </w:rPr>
        <w:t>D</w:t>
      </w:r>
      <w:r w:rsidR="00526B36" w:rsidRPr="00526B36">
        <w:rPr>
          <w:b/>
        </w:rPr>
        <w:t xml:space="preserve">.  </w:t>
      </w:r>
      <w:r>
        <w:rPr>
          <w:b/>
        </w:rPr>
        <w:t>Financial</w:t>
      </w:r>
      <w:r w:rsidR="00A21265">
        <w:rPr>
          <w:b/>
        </w:rPr>
        <w:t xml:space="preserve"> Resources</w:t>
      </w:r>
    </w:p>
    <w:p w:rsidR="00526B36" w:rsidRDefault="00DA46E8" w:rsidP="00DA46E8">
      <w:pPr>
        <w:widowControl w:val="0"/>
        <w:tabs>
          <w:tab w:val="left" w:pos="1581"/>
          <w:tab w:val="left" w:pos="1582"/>
        </w:tabs>
        <w:autoSpaceDE w:val="0"/>
        <w:autoSpaceDN w:val="0"/>
        <w:spacing w:before="240" w:after="0" w:line="240" w:lineRule="auto"/>
        <w:ind w:right="281"/>
      </w:pPr>
      <w:r>
        <w:t xml:space="preserve">1. </w:t>
      </w:r>
      <w:r w:rsidRPr="00DA46E8">
        <w:t>Financial resources are sufficient to support and sustain student learning programs and services and improve institutional effectiveness. The distribution of resources supports the development, maintenance, allocation and reallocation, and enhancement of programs and services. The institution plans and manages its financial affairs with integrity and in a manner that ensures financial stability. (ER 18)</w:t>
      </w:r>
    </w:p>
    <w:sectPr w:rsidR="00526B36" w:rsidSect="00526B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3C14"/>
    <w:multiLevelType w:val="hybridMultilevel"/>
    <w:tmpl w:val="36222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F665A"/>
    <w:multiLevelType w:val="hybridMultilevel"/>
    <w:tmpl w:val="C6B0FA48"/>
    <w:lvl w:ilvl="0" w:tplc="44025C68">
      <w:start w:val="1"/>
      <w:numFmt w:val="upperLetter"/>
      <w:lvlText w:val="%1."/>
      <w:lvlJc w:val="left"/>
      <w:pPr>
        <w:ind w:left="667" w:hanging="548"/>
      </w:pPr>
      <w:rPr>
        <w:rFonts w:ascii="Trebuchet MS" w:eastAsia="Trebuchet MS" w:hAnsi="Trebuchet MS" w:cs="Trebuchet MS" w:hint="default"/>
        <w:b/>
        <w:bCs/>
        <w:w w:val="97"/>
        <w:sz w:val="26"/>
        <w:szCs w:val="26"/>
        <w:lang w:val="en-US" w:eastAsia="en-US" w:bidi="en-US"/>
      </w:rPr>
    </w:lvl>
    <w:lvl w:ilvl="1" w:tplc="7368F1B8">
      <w:start w:val="1"/>
      <w:numFmt w:val="decimal"/>
      <w:lvlText w:val="%2."/>
      <w:lvlJc w:val="left"/>
      <w:pPr>
        <w:ind w:left="1199" w:hanging="540"/>
      </w:pPr>
      <w:rPr>
        <w:rFonts w:ascii="Trebuchet MS" w:eastAsia="Trebuchet MS" w:hAnsi="Trebuchet MS" w:cs="Trebuchet MS" w:hint="default"/>
        <w:spacing w:val="-1"/>
        <w:w w:val="100"/>
        <w:sz w:val="22"/>
        <w:szCs w:val="22"/>
        <w:lang w:val="en-US" w:eastAsia="en-US" w:bidi="en-US"/>
      </w:rPr>
    </w:lvl>
    <w:lvl w:ilvl="2" w:tplc="DBE4626C">
      <w:numFmt w:val="bullet"/>
      <w:lvlText w:val="•"/>
      <w:lvlJc w:val="left"/>
      <w:pPr>
        <w:ind w:left="2124" w:hanging="540"/>
      </w:pPr>
      <w:rPr>
        <w:rFonts w:hint="default"/>
        <w:lang w:val="en-US" w:eastAsia="en-US" w:bidi="en-US"/>
      </w:rPr>
    </w:lvl>
    <w:lvl w:ilvl="3" w:tplc="5D20F44C">
      <w:numFmt w:val="bullet"/>
      <w:lvlText w:val="•"/>
      <w:lvlJc w:val="left"/>
      <w:pPr>
        <w:ind w:left="3048" w:hanging="540"/>
      </w:pPr>
      <w:rPr>
        <w:rFonts w:hint="default"/>
        <w:lang w:val="en-US" w:eastAsia="en-US" w:bidi="en-US"/>
      </w:rPr>
    </w:lvl>
    <w:lvl w:ilvl="4" w:tplc="9264A110">
      <w:numFmt w:val="bullet"/>
      <w:lvlText w:val="•"/>
      <w:lvlJc w:val="left"/>
      <w:pPr>
        <w:ind w:left="3973" w:hanging="540"/>
      </w:pPr>
      <w:rPr>
        <w:rFonts w:hint="default"/>
        <w:lang w:val="en-US" w:eastAsia="en-US" w:bidi="en-US"/>
      </w:rPr>
    </w:lvl>
    <w:lvl w:ilvl="5" w:tplc="68666FBE">
      <w:numFmt w:val="bullet"/>
      <w:lvlText w:val="•"/>
      <w:lvlJc w:val="left"/>
      <w:pPr>
        <w:ind w:left="4897" w:hanging="540"/>
      </w:pPr>
      <w:rPr>
        <w:rFonts w:hint="default"/>
        <w:lang w:val="en-US" w:eastAsia="en-US" w:bidi="en-US"/>
      </w:rPr>
    </w:lvl>
    <w:lvl w:ilvl="6" w:tplc="65BC52CC">
      <w:numFmt w:val="bullet"/>
      <w:lvlText w:val="•"/>
      <w:lvlJc w:val="left"/>
      <w:pPr>
        <w:ind w:left="5822" w:hanging="540"/>
      </w:pPr>
      <w:rPr>
        <w:rFonts w:hint="default"/>
        <w:lang w:val="en-US" w:eastAsia="en-US" w:bidi="en-US"/>
      </w:rPr>
    </w:lvl>
    <w:lvl w:ilvl="7" w:tplc="AEB27A32">
      <w:numFmt w:val="bullet"/>
      <w:lvlText w:val="•"/>
      <w:lvlJc w:val="left"/>
      <w:pPr>
        <w:ind w:left="6746" w:hanging="540"/>
      </w:pPr>
      <w:rPr>
        <w:rFonts w:hint="default"/>
        <w:lang w:val="en-US" w:eastAsia="en-US" w:bidi="en-US"/>
      </w:rPr>
    </w:lvl>
    <w:lvl w:ilvl="8" w:tplc="44F4B944">
      <w:numFmt w:val="bullet"/>
      <w:lvlText w:val="•"/>
      <w:lvlJc w:val="left"/>
      <w:pPr>
        <w:ind w:left="7671" w:hanging="540"/>
      </w:pPr>
      <w:rPr>
        <w:rFonts w:hint="default"/>
        <w:lang w:val="en-US" w:eastAsia="en-US" w:bidi="en-US"/>
      </w:rPr>
    </w:lvl>
  </w:abstractNum>
  <w:abstractNum w:abstractNumId="2" w15:restartNumberingAfterBreak="0">
    <w:nsid w:val="356B7723"/>
    <w:multiLevelType w:val="multilevel"/>
    <w:tmpl w:val="AC28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C101A"/>
    <w:multiLevelType w:val="hybridMultilevel"/>
    <w:tmpl w:val="C5CA8BCE"/>
    <w:lvl w:ilvl="0" w:tplc="02142FC4">
      <w:start w:val="1"/>
      <w:numFmt w:val="upperLetter"/>
      <w:lvlText w:val="%1."/>
      <w:lvlJc w:val="left"/>
      <w:pPr>
        <w:ind w:left="1048" w:hanging="548"/>
      </w:pPr>
      <w:rPr>
        <w:rFonts w:ascii="Trebuchet MS" w:eastAsia="Trebuchet MS" w:hAnsi="Trebuchet MS" w:cs="Trebuchet MS" w:hint="default"/>
        <w:b/>
        <w:bCs/>
        <w:w w:val="97"/>
        <w:sz w:val="26"/>
        <w:szCs w:val="26"/>
        <w:lang w:val="en-US" w:eastAsia="en-US" w:bidi="en-US"/>
      </w:rPr>
    </w:lvl>
    <w:lvl w:ilvl="1" w:tplc="F1BA1C04">
      <w:start w:val="1"/>
      <w:numFmt w:val="decimal"/>
      <w:lvlText w:val="%2."/>
      <w:lvlJc w:val="left"/>
      <w:pPr>
        <w:ind w:left="1579" w:hanging="533"/>
        <w:jc w:val="right"/>
      </w:pPr>
      <w:rPr>
        <w:rFonts w:hint="default"/>
        <w:spacing w:val="-1"/>
        <w:w w:val="100"/>
        <w:lang w:val="en-US" w:eastAsia="en-US" w:bidi="en-US"/>
      </w:rPr>
    </w:lvl>
    <w:lvl w:ilvl="2" w:tplc="2D5A2A34">
      <w:numFmt w:val="bullet"/>
      <w:lvlText w:val="•"/>
      <w:lvlJc w:val="left"/>
      <w:pPr>
        <w:ind w:left="1600" w:hanging="533"/>
      </w:pPr>
      <w:rPr>
        <w:rFonts w:hint="default"/>
        <w:lang w:val="en-US" w:eastAsia="en-US" w:bidi="en-US"/>
      </w:rPr>
    </w:lvl>
    <w:lvl w:ilvl="3" w:tplc="5128F5AA">
      <w:numFmt w:val="bullet"/>
      <w:lvlText w:val="•"/>
      <w:lvlJc w:val="left"/>
      <w:pPr>
        <w:ind w:left="2590" w:hanging="533"/>
      </w:pPr>
      <w:rPr>
        <w:rFonts w:hint="default"/>
        <w:lang w:val="en-US" w:eastAsia="en-US" w:bidi="en-US"/>
      </w:rPr>
    </w:lvl>
    <w:lvl w:ilvl="4" w:tplc="FD08AF7E">
      <w:numFmt w:val="bullet"/>
      <w:lvlText w:val="•"/>
      <w:lvlJc w:val="left"/>
      <w:pPr>
        <w:ind w:left="3580" w:hanging="533"/>
      </w:pPr>
      <w:rPr>
        <w:rFonts w:hint="default"/>
        <w:lang w:val="en-US" w:eastAsia="en-US" w:bidi="en-US"/>
      </w:rPr>
    </w:lvl>
    <w:lvl w:ilvl="5" w:tplc="0F0CB6A4">
      <w:numFmt w:val="bullet"/>
      <w:lvlText w:val="•"/>
      <w:lvlJc w:val="left"/>
      <w:pPr>
        <w:ind w:left="4570" w:hanging="533"/>
      </w:pPr>
      <w:rPr>
        <w:rFonts w:hint="default"/>
        <w:lang w:val="en-US" w:eastAsia="en-US" w:bidi="en-US"/>
      </w:rPr>
    </w:lvl>
    <w:lvl w:ilvl="6" w:tplc="68EA3D44">
      <w:numFmt w:val="bullet"/>
      <w:lvlText w:val="•"/>
      <w:lvlJc w:val="left"/>
      <w:pPr>
        <w:ind w:left="5560" w:hanging="533"/>
      </w:pPr>
      <w:rPr>
        <w:rFonts w:hint="default"/>
        <w:lang w:val="en-US" w:eastAsia="en-US" w:bidi="en-US"/>
      </w:rPr>
    </w:lvl>
    <w:lvl w:ilvl="7" w:tplc="E8CA147A">
      <w:numFmt w:val="bullet"/>
      <w:lvlText w:val="•"/>
      <w:lvlJc w:val="left"/>
      <w:pPr>
        <w:ind w:left="6550" w:hanging="533"/>
      </w:pPr>
      <w:rPr>
        <w:rFonts w:hint="default"/>
        <w:lang w:val="en-US" w:eastAsia="en-US" w:bidi="en-US"/>
      </w:rPr>
    </w:lvl>
    <w:lvl w:ilvl="8" w:tplc="E542D5FA">
      <w:numFmt w:val="bullet"/>
      <w:lvlText w:val="•"/>
      <w:lvlJc w:val="left"/>
      <w:pPr>
        <w:ind w:left="7540" w:hanging="533"/>
      </w:pPr>
      <w:rPr>
        <w:rFonts w:hint="default"/>
        <w:lang w:val="en-US" w:eastAsia="en-US" w:bidi="en-US"/>
      </w:rPr>
    </w:lvl>
  </w:abstractNum>
  <w:abstractNum w:abstractNumId="4" w15:restartNumberingAfterBreak="0">
    <w:nsid w:val="63B27669"/>
    <w:multiLevelType w:val="hybridMultilevel"/>
    <w:tmpl w:val="1396E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C4C53"/>
    <w:multiLevelType w:val="hybridMultilevel"/>
    <w:tmpl w:val="DF382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36"/>
    <w:rsid w:val="00526B36"/>
    <w:rsid w:val="00A21265"/>
    <w:rsid w:val="00B626FC"/>
    <w:rsid w:val="00DA46E8"/>
    <w:rsid w:val="00E32E94"/>
    <w:rsid w:val="00F5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863A3-0C41-40A7-869F-C48ED5C9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6B36"/>
    <w:pPr>
      <w:widowControl w:val="0"/>
      <w:autoSpaceDE w:val="0"/>
      <w:autoSpaceDN w:val="0"/>
      <w:spacing w:before="74" w:after="0" w:line="240" w:lineRule="auto"/>
      <w:ind w:left="120"/>
      <w:outlineLvl w:val="0"/>
    </w:pPr>
    <w:rPr>
      <w:rFonts w:ascii="Trebuchet MS" w:eastAsia="Trebuchet MS" w:hAnsi="Trebuchet MS" w:cs="Trebuchet MS"/>
      <w:b/>
      <w:bCs/>
      <w:sz w:val="28"/>
      <w:szCs w:val="28"/>
      <w:lang w:bidi="en-US"/>
    </w:rPr>
  </w:style>
  <w:style w:type="paragraph" w:styleId="Heading2">
    <w:name w:val="heading 2"/>
    <w:basedOn w:val="Normal"/>
    <w:next w:val="Normal"/>
    <w:link w:val="Heading2Char"/>
    <w:uiPriority w:val="9"/>
    <w:semiHidden/>
    <w:unhideWhenUsed/>
    <w:qFormat/>
    <w:rsid w:val="00526B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6B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36"/>
    <w:rPr>
      <w:rFonts w:ascii="Trebuchet MS" w:eastAsia="Trebuchet MS" w:hAnsi="Trebuchet MS" w:cs="Trebuchet MS"/>
      <w:b/>
      <w:bCs/>
      <w:sz w:val="28"/>
      <w:szCs w:val="28"/>
      <w:lang w:bidi="en-US"/>
    </w:rPr>
  </w:style>
  <w:style w:type="paragraph" w:styleId="BodyText">
    <w:name w:val="Body Text"/>
    <w:basedOn w:val="Normal"/>
    <w:link w:val="BodyTextChar"/>
    <w:uiPriority w:val="1"/>
    <w:qFormat/>
    <w:rsid w:val="00526B36"/>
    <w:pPr>
      <w:widowControl w:val="0"/>
      <w:autoSpaceDE w:val="0"/>
      <w:autoSpaceDN w:val="0"/>
      <w:spacing w:after="0" w:line="240" w:lineRule="auto"/>
    </w:pPr>
    <w:rPr>
      <w:rFonts w:ascii="Trebuchet MS" w:eastAsia="Trebuchet MS" w:hAnsi="Trebuchet MS" w:cs="Trebuchet MS"/>
      <w:lang w:bidi="en-US"/>
    </w:rPr>
  </w:style>
  <w:style w:type="character" w:customStyle="1" w:styleId="BodyTextChar">
    <w:name w:val="Body Text Char"/>
    <w:basedOn w:val="DefaultParagraphFont"/>
    <w:link w:val="BodyText"/>
    <w:uiPriority w:val="1"/>
    <w:rsid w:val="00526B36"/>
    <w:rPr>
      <w:rFonts w:ascii="Trebuchet MS" w:eastAsia="Trebuchet MS" w:hAnsi="Trebuchet MS" w:cs="Trebuchet MS"/>
      <w:lang w:bidi="en-US"/>
    </w:rPr>
  </w:style>
  <w:style w:type="paragraph" w:styleId="ListParagraph">
    <w:name w:val="List Paragraph"/>
    <w:basedOn w:val="Normal"/>
    <w:uiPriority w:val="1"/>
    <w:qFormat/>
    <w:rsid w:val="00526B36"/>
    <w:pPr>
      <w:ind w:left="720"/>
      <w:contextualSpacing/>
    </w:pPr>
  </w:style>
  <w:style w:type="character" w:customStyle="1" w:styleId="Heading2Char">
    <w:name w:val="Heading 2 Char"/>
    <w:basedOn w:val="DefaultParagraphFont"/>
    <w:link w:val="Heading2"/>
    <w:uiPriority w:val="9"/>
    <w:semiHidden/>
    <w:rsid w:val="00526B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6B3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Sieroty</dc:creator>
  <cp:keywords/>
  <dc:description/>
  <cp:lastModifiedBy>Brian Sieroty</cp:lastModifiedBy>
  <cp:revision>3</cp:revision>
  <dcterms:created xsi:type="dcterms:W3CDTF">2019-08-23T20:33:00Z</dcterms:created>
  <dcterms:modified xsi:type="dcterms:W3CDTF">2019-09-13T02:27:00Z</dcterms:modified>
</cp:coreProperties>
</file>