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EA" w:rsidRDefault="009B3259" w:rsidP="006664EE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hd w:val="clear" w:color="auto" w:fill="C0C0C0"/>
        <w:spacing w:after="0"/>
        <w:ind w:left="3036" w:hanging="10"/>
      </w:pPr>
      <w:r>
        <w:rPr>
          <w:rFonts w:ascii="Arial" w:eastAsia="Arial" w:hAnsi="Arial" w:cs="Arial"/>
          <w:b/>
          <w:color w:val="FFFFFF"/>
          <w:sz w:val="28"/>
        </w:rPr>
        <w:t xml:space="preserve">Glendale Community College Instructional Division </w:t>
      </w:r>
    </w:p>
    <w:p w:rsidR="001304EA" w:rsidRDefault="009B3259" w:rsidP="006664EE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hd w:val="clear" w:color="auto" w:fill="C0C0C0"/>
        <w:spacing w:after="0"/>
        <w:ind w:left="3036" w:hanging="10"/>
      </w:pPr>
      <w:r>
        <w:rPr>
          <w:rFonts w:ascii="Arial" w:eastAsia="Arial" w:hAnsi="Arial" w:cs="Arial"/>
          <w:b/>
          <w:color w:val="FFFFFF"/>
          <w:sz w:val="28"/>
        </w:rPr>
        <w:t xml:space="preserve"> Program Learning Outcomes Assessment Timeline </w:t>
      </w:r>
    </w:p>
    <w:p w:rsidR="001304EA" w:rsidRDefault="009B3259" w:rsidP="006664EE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hd w:val="clear" w:color="auto" w:fill="C0C0C0"/>
        <w:spacing w:after="0"/>
        <w:ind w:left="3026"/>
      </w:pPr>
      <w:r>
        <w:rPr>
          <w:rFonts w:ascii="Arial" w:eastAsia="Arial" w:hAnsi="Arial" w:cs="Arial"/>
          <w:color w:val="FFFFFF"/>
        </w:rPr>
        <w:t xml:space="preserve"> </w:t>
      </w:r>
    </w:p>
    <w:p w:rsidR="001304EA" w:rsidRDefault="009B3259">
      <w:pPr>
        <w:spacing w:after="0"/>
        <w:ind w:left="30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04EA" w:rsidRDefault="009B3259">
      <w:pPr>
        <w:pStyle w:val="Heading1"/>
      </w:pPr>
      <w:r>
        <w:t>Please complete a separate timeline form</w:t>
      </w:r>
      <w:r>
        <w:rPr>
          <w:i/>
        </w:rPr>
        <w:t xml:space="preserve"> </w:t>
      </w:r>
      <w:r>
        <w:t xml:space="preserve">for </w:t>
      </w:r>
      <w:r>
        <w:rPr>
          <w:i/>
        </w:rPr>
        <w:t>each</w:t>
      </w:r>
      <w:r>
        <w:t xml:space="preserve"> program within your division </w:t>
      </w:r>
    </w:p>
    <w:tbl>
      <w:tblPr>
        <w:tblStyle w:val="TableGrid"/>
        <w:tblW w:w="13178" w:type="dxa"/>
        <w:tblInd w:w="-115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178"/>
      </w:tblGrid>
      <w:tr w:rsidR="001304EA">
        <w:trPr>
          <w:trHeight w:val="516"/>
        </w:trPr>
        <w:tc>
          <w:tcPr>
            <w:tcW w:w="1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Division name: </w:t>
            </w:r>
            <w:r w:rsidRPr="006664EE">
              <w:rPr>
                <w:rFonts w:ascii="Arial" w:eastAsia="Arial" w:hAnsi="Arial" w:cs="Arial"/>
                <w:b/>
                <w:sz w:val="24"/>
              </w:rPr>
              <w:t>BUSINESS DIVISION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304EA">
        <w:trPr>
          <w:trHeight w:val="794"/>
        </w:trPr>
        <w:tc>
          <w:tcPr>
            <w:tcW w:w="1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4EA" w:rsidRDefault="009B3259" w:rsidP="006664EE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Program name (degree, certificate, sequence of courses or series of learning activities leading to intellectual mastery): </w:t>
            </w:r>
            <w:r w:rsidRPr="006664EE">
              <w:rPr>
                <w:rFonts w:ascii="Arial" w:eastAsia="Arial" w:hAnsi="Arial" w:cs="Arial"/>
                <w:b/>
                <w:sz w:val="24"/>
              </w:rPr>
              <w:t xml:space="preserve">Business </w:t>
            </w:r>
            <w:r w:rsidR="006664EE" w:rsidRPr="006664EE">
              <w:rPr>
                <w:rFonts w:ascii="Arial" w:eastAsia="Arial" w:hAnsi="Arial" w:cs="Arial"/>
                <w:b/>
                <w:sz w:val="24"/>
              </w:rPr>
              <w:t>Administration</w:t>
            </w:r>
            <w:r w:rsidR="006664EE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(BUSAD)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1304EA" w:rsidRDefault="009B325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304EA" w:rsidRDefault="009B3259">
      <w:pPr>
        <w:spacing w:after="0"/>
        <w:ind w:left="251" w:right="241" w:hanging="10"/>
        <w:jc w:val="center"/>
      </w:pPr>
      <w:r>
        <w:rPr>
          <w:rFonts w:ascii="Arial" w:eastAsia="Arial" w:hAnsi="Arial" w:cs="Arial"/>
          <w:b/>
          <w:sz w:val="24"/>
        </w:rPr>
        <w:t>Program Relationship to Glendale Community College’s Core Competencies/Institutional Student Learning Outcomes (ISLOs)</w:t>
      </w:r>
      <w:r>
        <w:rPr>
          <w:rFonts w:ascii="Arial" w:eastAsia="Arial" w:hAnsi="Arial" w:cs="Arial"/>
          <w:color w:val="FFFFFF"/>
          <w:sz w:val="24"/>
        </w:rPr>
        <w:t xml:space="preserve"> </w:t>
      </w:r>
    </w:p>
    <w:tbl>
      <w:tblPr>
        <w:tblStyle w:val="TableGrid"/>
        <w:tblW w:w="13176" w:type="dxa"/>
        <w:tblInd w:w="-107" w:type="dxa"/>
        <w:tblCellMar>
          <w:top w:w="5" w:type="dxa"/>
          <w:left w:w="107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476"/>
        <w:gridCol w:w="5700"/>
      </w:tblGrid>
      <w:tr w:rsidR="001304EA">
        <w:trPr>
          <w:trHeight w:val="2789"/>
        </w:trPr>
        <w:tc>
          <w:tcPr>
            <w:tcW w:w="7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How does this program relate to GCC’s College’s Core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304EA" w:rsidRDefault="009B3259">
            <w:pPr>
              <w:spacing w:after="0"/>
              <w:ind w:right="34"/>
            </w:pPr>
            <w:r>
              <w:rPr>
                <w:rFonts w:ascii="Arial" w:eastAsia="Arial" w:hAnsi="Arial" w:cs="Arial"/>
                <w:b/>
                <w:u w:val="single" w:color="000000"/>
              </w:rPr>
              <w:t>Competencies/Institutional Student Learning Outcomes (ISLOs)?: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Core Competencies/I</w:t>
            </w:r>
            <w:r>
              <w:rPr>
                <w:rFonts w:ascii="Arial" w:eastAsia="Arial" w:hAnsi="Arial" w:cs="Arial"/>
              </w:rPr>
              <w:t>SLOs are commonly defined as the knowledge, skills, abilities, and attitudes that students are expected to develop as a result of their overall experiences with any aspect of the college, including courses, programs, and student services.  Each program off</w:t>
            </w:r>
            <w:r>
              <w:rPr>
                <w:rFonts w:ascii="Arial" w:eastAsia="Arial" w:hAnsi="Arial" w:cs="Arial"/>
              </w:rPr>
              <w:t xml:space="preserve">ered at GCC should link to at least some of these Core Competencies/ISLOs.  A list of the Core Competencies/ISLOs can be found here: </w:t>
            </w:r>
            <w:hyperlink r:id="rId7">
              <w:r>
                <w:rPr>
                  <w:rFonts w:ascii="Arial" w:eastAsia="Arial" w:hAnsi="Arial" w:cs="Arial"/>
                  <w:u w:val="single" w:color="000000"/>
                </w:rPr>
                <w:t>http://www.glendale.edu/Modules/ShowDo</w:t>
              </w:r>
              <w:r>
                <w:rPr>
                  <w:rFonts w:ascii="Arial" w:eastAsia="Arial" w:hAnsi="Arial" w:cs="Arial"/>
                  <w:u w:val="single" w:color="000000"/>
                </w:rPr>
                <w:t>cument.aspx?documentid=4362</w:t>
              </w:r>
            </w:hyperlink>
            <w:hyperlink r:id="rId8">
              <w:r>
                <w:t xml:space="preserve"> </w:t>
              </w:r>
            </w:hyperlink>
            <w:r>
              <w:rPr>
                <w:rFonts w:ascii="Arial" w:eastAsia="Arial" w:hAnsi="Arial" w:cs="Arial"/>
              </w:rPr>
              <w:t xml:space="preserve">Include a brief statement outlining how this program aligns with GCC’s Core Competencies/ISLOs </w:t>
            </w:r>
          </w:p>
        </w:tc>
        <w:tc>
          <w:tcPr>
            <w:tcW w:w="56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</w:tcPr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An ideal relationship: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304EA" w:rsidRDefault="009B3259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Is clear and brief </w:t>
            </w:r>
          </w:p>
          <w:p w:rsidR="001304EA" w:rsidRDefault="009B3259">
            <w:pPr>
              <w:numPr>
                <w:ilvl w:val="0"/>
                <w:numId w:val="1"/>
              </w:numPr>
              <w:spacing w:after="11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Is connected to GCC’s Core Competencies/ISLOs </w:t>
            </w:r>
          </w:p>
          <w:p w:rsidR="001304EA" w:rsidRDefault="009B3259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If applicable, aligns with professional organization(s) learning outcomes </w:t>
            </w:r>
          </w:p>
        </w:tc>
      </w:tr>
      <w:tr w:rsidR="001304EA">
        <w:trPr>
          <w:trHeight w:val="1965"/>
        </w:trPr>
        <w:tc>
          <w:tcPr>
            <w:tcW w:w="13176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304EA" w:rsidRDefault="009B3259">
            <w:pPr>
              <w:spacing w:after="0" w:line="241" w:lineRule="auto"/>
              <w:ind w:right="5"/>
            </w:pPr>
            <w:r>
              <w:rPr>
                <w:rFonts w:ascii="Arial" w:eastAsia="Arial" w:hAnsi="Arial" w:cs="Arial"/>
                <w:sz w:val="20"/>
              </w:rPr>
              <w:t xml:space="preserve">Institutional SLOs 1, 3, 4, and 5 (Communication, Information Competency, Critical Thinking, and Global Awareness &amp; Appreciation) </w:t>
            </w:r>
            <w:r>
              <w:rPr>
                <w:rFonts w:ascii="Arial" w:eastAsia="Arial" w:hAnsi="Arial" w:cs="Arial"/>
                <w:sz w:val="20"/>
              </w:rPr>
              <w:t xml:space="preserve">are addressed by PLO #1. </w:t>
            </w:r>
          </w:p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304EA" w:rsidRDefault="009B3259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Institutional SLOs 1, 2, and 4 (Communication, Mathematical Competency/Quantitative Reasoning, and Critical Thinking) are addressed by PLO #2. </w:t>
            </w:r>
          </w:p>
          <w:p w:rsidR="001304EA" w:rsidRDefault="009B3259">
            <w:pPr>
              <w:spacing w:after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Institutional SLOs 2 and 7 (Critical Thinking and Application of Knowledge) are ad</w:t>
            </w:r>
            <w:r>
              <w:rPr>
                <w:rFonts w:ascii="Arial" w:eastAsia="Arial" w:hAnsi="Arial" w:cs="Arial"/>
                <w:sz w:val="20"/>
              </w:rPr>
              <w:t>dressed by PLO #3.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bookmarkStart w:id="0" w:name="_GoBack"/>
        <w:bookmarkEnd w:id="0"/>
      </w:tr>
    </w:tbl>
    <w:p w:rsidR="001304EA" w:rsidRDefault="009B325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304EA" w:rsidRDefault="009B3259">
      <w:pPr>
        <w:spacing w:after="0"/>
        <w:ind w:left="31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304EA" w:rsidRDefault="009B3259">
      <w:pPr>
        <w:spacing w:after="0"/>
        <w:ind w:left="31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304EA" w:rsidRDefault="009B3259">
      <w:pPr>
        <w:spacing w:after="0"/>
        <w:ind w:left="314"/>
        <w:jc w:val="center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:rsidR="001304EA" w:rsidRDefault="009B3259">
      <w:pPr>
        <w:spacing w:after="0"/>
        <w:ind w:left="31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304EA" w:rsidRDefault="009B3259">
      <w:pPr>
        <w:spacing w:after="0"/>
        <w:ind w:left="251" w:hanging="10"/>
        <w:jc w:val="center"/>
      </w:pPr>
      <w:r>
        <w:rPr>
          <w:rFonts w:ascii="Arial" w:eastAsia="Arial" w:hAnsi="Arial" w:cs="Arial"/>
          <w:b/>
          <w:sz w:val="24"/>
        </w:rPr>
        <w:t xml:space="preserve">Program Level Outcomes (PLOs) Assessment Timeline </w:t>
      </w:r>
    </w:p>
    <w:p w:rsidR="001304EA" w:rsidRDefault="009B3259">
      <w:pPr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3176" w:type="dxa"/>
        <w:tblInd w:w="-107" w:type="dxa"/>
        <w:tblCellMar>
          <w:top w:w="5" w:type="dxa"/>
          <w:left w:w="107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4392"/>
        <w:gridCol w:w="2198"/>
        <w:gridCol w:w="2197"/>
        <w:gridCol w:w="4389"/>
      </w:tblGrid>
      <w:tr w:rsidR="001304EA">
        <w:trPr>
          <w:trHeight w:val="4947"/>
        </w:trPr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304EA" w:rsidRDefault="009B3259">
            <w:pPr>
              <w:spacing w:after="1" w:line="240" w:lineRule="auto"/>
              <w:ind w:right="32"/>
            </w:pPr>
            <w:r>
              <w:rPr>
                <w:rFonts w:ascii="Arial" w:eastAsia="Arial" w:hAnsi="Arial" w:cs="Arial"/>
                <w:b/>
                <w:u w:val="single" w:color="000000"/>
              </w:rPr>
              <w:t>What are the Program Learning Outcomes of this program?: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Program Learning Outcomes (PLOs) are commonly defined as </w:t>
            </w:r>
            <w:r>
              <w:rPr>
                <w:rFonts w:ascii="Arial" w:eastAsia="Arial" w:hAnsi="Arial" w:cs="Arial"/>
                <w:sz w:val="23"/>
              </w:rPr>
              <w:t xml:space="preserve">the knowledge, skills, and abilities that students have attained as a result of their involvement in a particular set of </w:t>
            </w:r>
            <w:r>
              <w:rPr>
                <w:rFonts w:ascii="Arial" w:eastAsia="Arial" w:hAnsi="Arial" w:cs="Arial"/>
              </w:rPr>
              <w:t>educational experiences such as within a specific program, degree, certificate or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series of learning activities leading to intellectual</w:t>
            </w:r>
            <w:r>
              <w:rPr>
                <w:rFonts w:ascii="Arial" w:eastAsia="Arial" w:hAnsi="Arial" w:cs="Arial"/>
              </w:rPr>
              <w:t xml:space="preserve"> mastery     </w:t>
            </w:r>
          </w:p>
          <w:p w:rsidR="001304EA" w:rsidRDefault="009B3259">
            <w:pPr>
              <w:spacing w:after="0" w:line="238" w:lineRule="auto"/>
            </w:pPr>
            <w:r>
              <w:rPr>
                <w:rFonts w:ascii="Arial" w:eastAsia="Arial" w:hAnsi="Arial" w:cs="Arial"/>
              </w:rPr>
              <w:t xml:space="preserve">List your PLOs below and explain the timeline by which the PLOs will be assessed </w:t>
            </w:r>
          </w:p>
          <w:p w:rsidR="001304EA" w:rsidRDefault="009B325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u w:val="single" w:color="000000"/>
              </w:rPr>
              <w:t>What is the PLO Assessment Planning Timeline for this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Program?: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304EA" w:rsidRDefault="009B3259">
            <w:pPr>
              <w:spacing w:after="2" w:line="239" w:lineRule="auto"/>
              <w:ind w:right="262"/>
            </w:pPr>
            <w:r>
              <w:rPr>
                <w:rFonts w:ascii="Arial" w:eastAsia="Arial" w:hAnsi="Arial" w:cs="Arial"/>
              </w:rPr>
              <w:t xml:space="preserve">To develop an ongoing and systematic planning timeline, it is recommended that you assess PLOs within a 3 year cycle (e.g. assess 1/3 of PLOs in year 1, 1/3 in year 2, and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1/3 in year 3)  </w:t>
            </w:r>
          </w:p>
          <w:p w:rsidR="001304EA" w:rsidRDefault="009B3259">
            <w:pPr>
              <w:spacing w:after="0"/>
              <w:ind w:left="36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Ideal examples of Program Learning Outcomes: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Are observable and measurable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Are program specific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Connect to GCC’s Core Competencies/ISLOs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Use action verbs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10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Generally a program will have between three and six PLOs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If applicable, aligns with professional organization(s) learning outcomes </w:t>
            </w:r>
          </w:p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Ideal exam</w:t>
            </w:r>
            <w:r>
              <w:rPr>
                <w:rFonts w:ascii="Arial" w:eastAsia="Arial" w:hAnsi="Arial" w:cs="Arial"/>
                <w:b/>
                <w:u w:val="single" w:color="000000"/>
              </w:rPr>
              <w:t>ples of Program Assessment Timelines: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6" w:line="247" w:lineRule="auto"/>
              <w:ind w:hanging="360"/>
            </w:pPr>
            <w:r>
              <w:rPr>
                <w:rFonts w:ascii="Arial" w:eastAsia="Arial" w:hAnsi="Arial" w:cs="Arial"/>
              </w:rPr>
              <w:t xml:space="preserve">Are practical, sustainable, and geared to Core Competencies/ISLOs, and college mission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6" w:line="247" w:lineRule="auto"/>
              <w:ind w:hanging="360"/>
            </w:pPr>
            <w:r>
              <w:rPr>
                <w:rFonts w:ascii="Arial" w:eastAsia="Arial" w:hAnsi="Arial" w:cs="Arial"/>
              </w:rPr>
              <w:t xml:space="preserve">Ensure that each PLO is assessed regularly within a 3 year cycle </w:t>
            </w:r>
          </w:p>
          <w:p w:rsidR="001304EA" w:rsidRDefault="009B3259">
            <w:pPr>
              <w:numPr>
                <w:ilvl w:val="0"/>
                <w:numId w:val="2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</w:rPr>
              <w:t xml:space="preserve">Include teams for assessment data collection and analysis and assessment report writing that include faculty members who are instructors of the </w:t>
            </w:r>
          </w:p>
          <w:p w:rsidR="001304EA" w:rsidRDefault="009B3259">
            <w:pPr>
              <w:spacing w:after="0"/>
              <w:ind w:left="722"/>
            </w:pPr>
            <w:r>
              <w:rPr>
                <w:rFonts w:ascii="Arial" w:eastAsia="Arial" w:hAnsi="Arial" w:cs="Arial"/>
              </w:rPr>
              <w:t xml:space="preserve">courses/programs assessed </w:t>
            </w:r>
          </w:p>
          <w:p w:rsidR="001304EA" w:rsidRDefault="009B3259">
            <w:pPr>
              <w:spacing w:after="0"/>
              <w:ind w:left="36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304EA">
        <w:trPr>
          <w:trHeight w:val="139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right="7"/>
            </w:pPr>
            <w:r>
              <w:rPr>
                <w:rFonts w:ascii="Arial" w:eastAsia="Arial" w:hAnsi="Arial" w:cs="Arial"/>
                <w:b/>
                <w:sz w:val="20"/>
              </w:rPr>
              <w:t>List PLOs below.  Generally, a program will have between three and six PLOs.  Con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tinue to add PLOs until you have developed an assessment timeline for each PLO associated with this program.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2" w:line="239" w:lineRule="auto"/>
              <w:ind w:left="1" w:right="204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 what semester and year will you  assess this PLO?   </w:t>
            </w:r>
          </w:p>
          <w:p w:rsidR="001304EA" w:rsidRDefault="009B3259">
            <w:pPr>
              <w:spacing w:after="0"/>
              <w:ind w:left="1" w:right="12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What data will you use to assess it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(i.e. SLO data from courses within the program, exam  or essay data, portfolios of student work, licensing/exit exams, etc) ?  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Who will collect and analyze the PLO assessment data and write a report of the findings?  (Include report writer’s name and, if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possible, other participants)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304EA">
        <w:trPr>
          <w:trHeight w:val="103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1 </w:t>
            </w:r>
          </w:p>
          <w:p w:rsidR="001304EA" w:rsidRDefault="009B3259">
            <w:pPr>
              <w:spacing w:after="0"/>
              <w:ind w:right="17"/>
            </w:pPr>
            <w:r>
              <w:rPr>
                <w:rFonts w:ascii="Arial" w:eastAsia="Arial" w:hAnsi="Arial" w:cs="Arial"/>
                <w:sz w:val="20"/>
              </w:rPr>
              <w:t>Students will be able to recognize, analyze, and assess current economic challenges facing global and domestic businesses.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 w:line="241" w:lineRule="auto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SLO data from courses within the program will be used to assess this PLO. </w:t>
            </w:r>
          </w:p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PLO will be assessed by Spring 2014.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Brett Miketta </w:t>
            </w:r>
          </w:p>
        </w:tc>
      </w:tr>
      <w:tr w:rsidR="001304EA">
        <w:trPr>
          <w:trHeight w:val="126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PLO 2 </w:t>
            </w:r>
          </w:p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Students will be able to analyze, evaluate, and explain business problems using basic concepts and terminology of accounting and finance.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 w:line="242" w:lineRule="auto"/>
              <w:ind w:left="1"/>
            </w:pPr>
            <w:r>
              <w:rPr>
                <w:rFonts w:ascii="Arial" w:eastAsia="Arial" w:hAnsi="Arial" w:cs="Arial"/>
                <w:sz w:val="20"/>
              </w:rPr>
              <w:t>SLO data from courses within the program will be used to</w:t>
            </w:r>
            <w:r>
              <w:rPr>
                <w:rFonts w:ascii="Arial" w:eastAsia="Arial" w:hAnsi="Arial" w:cs="Arial"/>
                <w:sz w:val="20"/>
              </w:rPr>
              <w:t xml:space="preserve"> assess this PLO. </w:t>
            </w:r>
          </w:p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PLO will be assessed by Spring 2014.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Brett Miketta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1080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3 </w:t>
            </w:r>
          </w:p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Students will be able to understand and apply the four P's of marketing, business law, investments, management, and marketing.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SLO data from courses within the program will be used to assess this PLO. </w:t>
            </w:r>
          </w:p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PLO will be assessed by Spring 2014.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Brett Miketta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1304EA" w:rsidRDefault="009B325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1304EA" w:rsidRDefault="009B325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1304EA" w:rsidRDefault="009B325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1304EA" w:rsidRDefault="009B3259">
      <w:pPr>
        <w:spacing w:after="0"/>
        <w:ind w:right="4288"/>
        <w:jc w:val="right"/>
      </w:pPr>
      <w:r>
        <w:rPr>
          <w:rFonts w:ascii="Arial" w:eastAsia="Arial" w:hAnsi="Arial" w:cs="Arial"/>
          <w:b/>
          <w:sz w:val="24"/>
        </w:rPr>
        <w:t xml:space="preserve">Course Program Alignment Matrix </w:t>
      </w:r>
    </w:p>
    <w:tbl>
      <w:tblPr>
        <w:tblStyle w:val="TableGrid"/>
        <w:tblW w:w="13176" w:type="dxa"/>
        <w:tblInd w:w="-107" w:type="dxa"/>
        <w:tblCellMar>
          <w:top w:w="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1"/>
        <w:gridCol w:w="5975"/>
      </w:tblGrid>
      <w:tr w:rsidR="001304EA">
        <w:trPr>
          <w:trHeight w:val="3608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304EA" w:rsidRDefault="009B3259">
            <w:pPr>
              <w:spacing w:after="5" w:line="239" w:lineRule="auto"/>
            </w:pPr>
            <w:r>
              <w:rPr>
                <w:rFonts w:ascii="Arial" w:eastAsia="Arial" w:hAnsi="Arial" w:cs="Arial"/>
                <w:b/>
                <w:u w:val="single" w:color="000000"/>
              </w:rPr>
              <w:t>How are courses in the program aligned with the program’s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learning outcomes?: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304EA" w:rsidRDefault="009B3259">
            <w:pPr>
              <w:spacing w:after="15" w:line="238" w:lineRule="auto"/>
            </w:pPr>
            <w:r>
              <w:rPr>
                <w:rFonts w:ascii="Arial" w:eastAsia="Arial" w:hAnsi="Arial" w:cs="Arial"/>
              </w:rPr>
              <w:t xml:space="preserve">This section should include a matrix of the PLOs for your program and a list of each course which is a part of the program  </w:t>
            </w:r>
          </w:p>
          <w:p w:rsidR="001304EA" w:rsidRDefault="009B3259">
            <w:pPr>
              <w:numPr>
                <w:ilvl w:val="0"/>
                <w:numId w:val="3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</w:rPr>
              <w:t>For each course indicate if PLO is addressed within it the level at which it is addressed by either leaving it blank (if not addres</w:t>
            </w:r>
            <w:r>
              <w:rPr>
                <w:rFonts w:ascii="Arial" w:eastAsia="Arial" w:hAnsi="Arial" w:cs="Arial"/>
              </w:rPr>
              <w:t xml:space="preserve">sed in program) </w:t>
            </w:r>
          </w:p>
          <w:p w:rsidR="001304EA" w:rsidRDefault="009B3259">
            <w:pPr>
              <w:spacing w:after="0"/>
              <w:ind w:left="360"/>
            </w:pPr>
            <w:r>
              <w:rPr>
                <w:rFonts w:ascii="Arial" w:eastAsia="Arial" w:hAnsi="Arial" w:cs="Arial"/>
              </w:rPr>
              <w:t xml:space="preserve">       or noting </w:t>
            </w:r>
            <w:r>
              <w:rPr>
                <w:rFonts w:ascii="Arial" w:eastAsia="Arial" w:hAnsi="Arial" w:cs="Arial"/>
                <w:b/>
              </w:rPr>
              <w:t>I, D, or M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304EA" w:rsidRDefault="009B3259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</w:rPr>
              <w:t>Introduce =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I </w:t>
            </w:r>
            <w:r>
              <w:rPr>
                <w:rFonts w:ascii="Arial" w:eastAsia="Arial" w:hAnsi="Arial" w:cs="Arial"/>
              </w:rPr>
              <w:t xml:space="preserve">PLO is introduced at a basic level </w:t>
            </w:r>
          </w:p>
          <w:p w:rsidR="001304EA" w:rsidRDefault="009B3259">
            <w:pPr>
              <w:numPr>
                <w:ilvl w:val="0"/>
                <w:numId w:val="3"/>
              </w:numPr>
              <w:spacing w:after="7" w:line="244" w:lineRule="auto"/>
              <w:ind w:hanging="360"/>
            </w:pPr>
            <w:r>
              <w:rPr>
                <w:rFonts w:ascii="Arial" w:eastAsia="Arial" w:hAnsi="Arial" w:cs="Arial"/>
                <w:b/>
              </w:rPr>
              <w:t>D =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Develop </w:t>
            </w:r>
            <w:r>
              <w:rPr>
                <w:rFonts w:ascii="Arial" w:eastAsia="Arial" w:hAnsi="Arial" w:cs="Arial"/>
              </w:rPr>
              <w:t xml:space="preserve">Students are given opportunities to practice, learn more about, and receive feedback to develop more sophistication  </w:t>
            </w:r>
          </w:p>
          <w:p w:rsidR="001304EA" w:rsidRDefault="009B3259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b/>
              </w:rPr>
              <w:t>M =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Mastery  </w:t>
            </w:r>
            <w:r>
              <w:rPr>
                <w:rFonts w:ascii="Arial" w:eastAsia="Arial" w:hAnsi="Arial" w:cs="Arial"/>
              </w:rPr>
              <w:t>Students demonstr</w:t>
            </w:r>
            <w:r>
              <w:rPr>
                <w:rFonts w:ascii="Arial" w:eastAsia="Arial" w:hAnsi="Arial" w:cs="Arial"/>
              </w:rPr>
              <w:t xml:space="preserve">ate mastery at a level appropriate for graduation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304EA" w:rsidRDefault="009B3259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u w:val="single" w:color="000000"/>
              </w:rPr>
              <w:t>Ideal alignment: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304EA" w:rsidRDefault="009B3259">
            <w:pPr>
              <w:numPr>
                <w:ilvl w:val="0"/>
                <w:numId w:val="4"/>
              </w:numPr>
              <w:spacing w:after="0" w:line="284" w:lineRule="auto"/>
              <w:ind w:hanging="360"/>
            </w:pPr>
            <w:r>
              <w:rPr>
                <w:rFonts w:ascii="Arial" w:eastAsia="Arial" w:hAnsi="Arial" w:cs="Arial"/>
              </w:rPr>
              <w:t xml:space="preserve">Course/Program matrix indicates that PLOs are embedded in program’s coursework </w:t>
            </w:r>
          </w:p>
          <w:p w:rsidR="001304EA" w:rsidRDefault="009B3259">
            <w:pPr>
              <w:numPr>
                <w:ilvl w:val="0"/>
                <w:numId w:val="4"/>
              </w:numPr>
              <w:spacing w:after="6" w:line="247" w:lineRule="auto"/>
              <w:ind w:hanging="360"/>
            </w:pPr>
            <w:r>
              <w:rPr>
                <w:rFonts w:ascii="Arial" w:eastAsia="Arial" w:hAnsi="Arial" w:cs="Arial"/>
              </w:rPr>
              <w:t xml:space="preserve">PLOs are introduced, developed, and mastered within the range of courses </w:t>
            </w:r>
          </w:p>
          <w:p w:rsidR="001304EA" w:rsidRDefault="009B3259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Each course addresses one or more of the PLOs; however, rarely does a course address all PLOs </w:t>
            </w:r>
          </w:p>
        </w:tc>
      </w:tr>
    </w:tbl>
    <w:p w:rsidR="001304EA" w:rsidRDefault="009B3259">
      <w:pPr>
        <w:spacing w:after="0"/>
        <w:ind w:left="31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304EA" w:rsidRDefault="009B325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3178" w:type="dxa"/>
        <w:tblInd w:w="-108" w:type="dxa"/>
        <w:tblCellMar>
          <w:top w:w="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2"/>
        <w:gridCol w:w="650"/>
        <w:gridCol w:w="1232"/>
        <w:gridCol w:w="650"/>
        <w:gridCol w:w="1234"/>
        <w:gridCol w:w="650"/>
        <w:gridCol w:w="1232"/>
        <w:gridCol w:w="1882"/>
        <w:gridCol w:w="1882"/>
        <w:gridCol w:w="1884"/>
      </w:tblGrid>
      <w:tr w:rsidR="001304EA">
        <w:trPr>
          <w:trHeight w:val="47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Course name and number 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1304EA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1 </w:t>
            </w:r>
          </w:p>
          <w:p w:rsidR="001304EA" w:rsidRDefault="009B3259">
            <w:pPr>
              <w:spacing w:after="0"/>
              <w:ind w:left="29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04EA" w:rsidRDefault="001304EA"/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1304EA"/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3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4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5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PLO 6 </w:t>
            </w:r>
          </w:p>
        </w:tc>
      </w:tr>
      <w:tr w:rsidR="001304EA">
        <w:trPr>
          <w:trHeight w:val="93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*ACCTG 101 OR </w:t>
            </w:r>
          </w:p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ACCTG 105 &amp; </w:t>
            </w:r>
          </w:p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ACCTG 106 OR </w:t>
            </w:r>
          </w:p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ACCTG 110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04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*BUSAD 101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7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*BUSAD 106 OR </w:t>
            </w:r>
          </w:p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CABOT 105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0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*BUSAD 110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70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*CS/IS 100 OR </w:t>
            </w:r>
          </w:p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CS/IS 101 OR </w:t>
            </w:r>
          </w:p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CABOT 260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4EA" w:rsidRDefault="009B3259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4EA" w:rsidRDefault="001304E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04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**BUSAD 120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06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**BUSAD 134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0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**BUSAD 135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0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**BUSAD 141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304EA">
        <w:trPr>
          <w:trHeight w:val="406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**BUSAD 162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EA" w:rsidRDefault="009B3259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1304EA" w:rsidRDefault="009B3259">
      <w:pPr>
        <w:spacing w:after="0"/>
        <w:ind w:left="355" w:hanging="10"/>
      </w:pPr>
      <w:r>
        <w:rPr>
          <w:rFonts w:ascii="Times New Roman" w:eastAsia="Times New Roman" w:hAnsi="Times New Roman" w:cs="Times New Roman"/>
          <w:sz w:val="32"/>
        </w:rPr>
        <w:t xml:space="preserve">  * Required Courses </w:t>
      </w:r>
    </w:p>
    <w:p w:rsidR="001304EA" w:rsidRDefault="009B3259">
      <w:pPr>
        <w:spacing w:after="0"/>
        <w:ind w:left="355" w:hanging="10"/>
      </w:pPr>
      <w:r>
        <w:rPr>
          <w:rFonts w:ascii="Times New Roman" w:eastAsia="Times New Roman" w:hAnsi="Times New Roman" w:cs="Times New Roman"/>
          <w:sz w:val="32"/>
        </w:rPr>
        <w:t xml:space="preserve">** Elective Courses    </w:t>
      </w:r>
    </w:p>
    <w:p w:rsidR="001304EA" w:rsidRDefault="009B32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04EA" w:rsidRDefault="009B3259">
      <w:pPr>
        <w:pStyle w:val="Heading1"/>
        <w:ind w:left="-5"/>
      </w:pPr>
      <w:r>
        <w:t xml:space="preserve">As you fill out this alignment matrix, gaps may occur or become visible.  Use the gaps to help your determine which course or program SLOs may need to be revised </w:t>
      </w:r>
      <w:r>
        <w:t xml:space="preserve">so that all courses and programs are aligned.  Question </w:t>
      </w:r>
    </w:p>
    <w:p w:rsidR="001304EA" w:rsidRDefault="009B3259">
      <w:pPr>
        <w:pStyle w:val="Heading1"/>
        <w:ind w:left="-5"/>
      </w:pPr>
      <w:r>
        <w:t>2.2 in your program’s Program Review report provides a means to explain if you noted any gaps in alignment and, if yes, how your division might revise course or program SLOs to ensure that all course</w:t>
      </w:r>
      <w:r>
        <w:t xml:space="preserve"> and program learning outcomes are aligned. </w:t>
      </w:r>
    </w:p>
    <w:p w:rsidR="001304EA" w:rsidRDefault="009B32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30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97" w:right="1685" w:bottom="1126" w:left="1440" w:header="683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59" w:rsidRDefault="009B3259">
      <w:pPr>
        <w:spacing w:after="0" w:line="240" w:lineRule="auto"/>
      </w:pPr>
      <w:r>
        <w:separator/>
      </w:r>
    </w:p>
  </w:endnote>
  <w:endnote w:type="continuationSeparator" w:id="0">
    <w:p w:rsidR="009B3259" w:rsidRDefault="009B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EA" w:rsidRDefault="009B3259">
    <w:pPr>
      <w:tabs>
        <w:tab w:val="center" w:pos="6481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EA" w:rsidRDefault="009B3259">
    <w:pPr>
      <w:tabs>
        <w:tab w:val="center" w:pos="6481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664EE" w:rsidRPr="006664EE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EA" w:rsidRDefault="009B3259">
    <w:pPr>
      <w:tabs>
        <w:tab w:val="center" w:pos="6481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59" w:rsidRDefault="009B3259">
      <w:pPr>
        <w:spacing w:after="0" w:line="240" w:lineRule="auto"/>
      </w:pPr>
      <w:r>
        <w:separator/>
      </w:r>
    </w:p>
  </w:footnote>
  <w:footnote w:type="continuationSeparator" w:id="0">
    <w:p w:rsidR="009B3259" w:rsidRDefault="009B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EA" w:rsidRDefault="009B3259">
    <w:pPr>
      <w:spacing w:after="0"/>
      <w:ind w:left="248"/>
      <w:jc w:val="center"/>
    </w:pPr>
    <w:r>
      <w:rPr>
        <w:rFonts w:ascii="Times New Roman" w:eastAsia="Times New Roman" w:hAnsi="Times New Roman" w:cs="Times New Roman"/>
        <w:color w:val="808080"/>
        <w:sz w:val="18"/>
      </w:rPr>
      <w:t>Program Learning Outcomes Assessment Timeline, Instructional Divisions, 2011-20114</w:t>
    </w:r>
    <w:r>
      <w:rPr>
        <w:rFonts w:ascii="Arial" w:eastAsia="Arial" w:hAnsi="Arial" w:cs="Arial"/>
        <w:color w:val="80808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EA" w:rsidRDefault="009B3259">
    <w:pPr>
      <w:spacing w:after="0"/>
      <w:ind w:left="248"/>
      <w:jc w:val="center"/>
    </w:pPr>
    <w:r>
      <w:rPr>
        <w:rFonts w:ascii="Times New Roman" w:eastAsia="Times New Roman" w:hAnsi="Times New Roman" w:cs="Times New Roman"/>
        <w:color w:val="808080"/>
        <w:sz w:val="18"/>
      </w:rPr>
      <w:t>Program Learning Outcomes Assessment Timeline, Instructional Divisions, 2011-20114</w:t>
    </w:r>
    <w:r>
      <w:rPr>
        <w:rFonts w:ascii="Arial" w:eastAsia="Arial" w:hAnsi="Arial" w:cs="Arial"/>
        <w:color w:val="80808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EA" w:rsidRDefault="009B3259">
    <w:pPr>
      <w:spacing w:after="0"/>
      <w:ind w:left="248"/>
      <w:jc w:val="center"/>
    </w:pPr>
    <w:r>
      <w:rPr>
        <w:rFonts w:ascii="Times New Roman" w:eastAsia="Times New Roman" w:hAnsi="Times New Roman" w:cs="Times New Roman"/>
        <w:color w:val="808080"/>
        <w:sz w:val="18"/>
      </w:rPr>
      <w:t>Program Learning Outcomes Assessment Timeline, Instructional Divisions, 2011-20114</w:t>
    </w:r>
    <w:r>
      <w:rPr>
        <w:rFonts w:ascii="Arial" w:eastAsia="Arial" w:hAnsi="Arial" w:cs="Arial"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A145A"/>
    <w:multiLevelType w:val="hybridMultilevel"/>
    <w:tmpl w:val="CE425FF6"/>
    <w:lvl w:ilvl="0" w:tplc="B6BCC6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2B64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07E6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0AA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CC3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4481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000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C61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C46D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F77CA5"/>
    <w:multiLevelType w:val="hybridMultilevel"/>
    <w:tmpl w:val="2EC0DB66"/>
    <w:lvl w:ilvl="0" w:tplc="8A9023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6F75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6C2C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6A3F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125C7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C117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2920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56A11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CE786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A16FF2"/>
    <w:multiLevelType w:val="hybridMultilevel"/>
    <w:tmpl w:val="D9DC4B3A"/>
    <w:lvl w:ilvl="0" w:tplc="5D02AA4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A47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8341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98C07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0788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3A2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20EB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4008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6CA7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C76B2"/>
    <w:multiLevelType w:val="hybridMultilevel"/>
    <w:tmpl w:val="C27C82EC"/>
    <w:lvl w:ilvl="0" w:tplc="0022513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0C81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EA72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2E88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069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281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41B0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6AF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AED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EA"/>
    <w:rsid w:val="001304EA"/>
    <w:rsid w:val="006664EE"/>
    <w:rsid w:val="009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C4688-604C-4A6F-AA88-70ADE12E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95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dale.edu/Modules/ShowDocument.aspx?documentid=436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lendale.edu/Modules/ShowDocument.aspx?documentid=436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Schwendimann</dc:creator>
  <cp:keywords/>
  <cp:lastModifiedBy>Seda Melikyan</cp:lastModifiedBy>
  <cp:revision>2</cp:revision>
  <dcterms:created xsi:type="dcterms:W3CDTF">2013-11-14T19:01:00Z</dcterms:created>
  <dcterms:modified xsi:type="dcterms:W3CDTF">2013-11-14T19:01:00Z</dcterms:modified>
</cp:coreProperties>
</file>