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D4" w:rsidRDefault="002621D4" w:rsidP="002621D4">
      <w:pPr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:rsidR="002621D4" w:rsidRDefault="002621D4" w:rsidP="002621D4">
      <w:pPr>
        <w:widowControl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SLO COMMITTEE</w:t>
      </w:r>
    </w:p>
    <w:p w:rsidR="002621D4" w:rsidRDefault="002621D4" w:rsidP="002621D4">
      <w:pPr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 (</w:t>
      </w:r>
      <w:r w:rsidR="002A5ED3">
        <w:rPr>
          <w:rFonts w:ascii="Arial" w:hAnsi="Arial" w:cs="Arial"/>
          <w:b/>
          <w:bCs/>
          <w:i/>
          <w:sz w:val="20"/>
          <w:szCs w:val="20"/>
        </w:rPr>
        <w:t>A</w:t>
      </w:r>
      <w:r>
        <w:rPr>
          <w:rFonts w:ascii="Arial" w:hAnsi="Arial" w:cs="Arial"/>
          <w:b/>
          <w:bCs/>
          <w:i/>
          <w:sz w:val="20"/>
          <w:szCs w:val="20"/>
        </w:rPr>
        <w:t>dopted)</w:t>
      </w:r>
    </w:p>
    <w:p w:rsidR="002621D4" w:rsidRDefault="00066040" w:rsidP="002621D4">
      <w:pPr>
        <w:widowControl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Thursday, </w:t>
      </w:r>
      <w:r w:rsidR="00DF034E">
        <w:rPr>
          <w:rFonts w:ascii="Arial" w:hAnsi="Arial" w:cs="Arial"/>
          <w:b/>
          <w:bCs/>
          <w:sz w:val="20"/>
          <w:szCs w:val="20"/>
        </w:rPr>
        <w:t>March 28</w:t>
      </w:r>
      <w:r w:rsidR="006A4CEF">
        <w:rPr>
          <w:rFonts w:ascii="Arial" w:hAnsi="Arial" w:cs="Arial"/>
          <w:b/>
          <w:bCs/>
          <w:sz w:val="20"/>
          <w:szCs w:val="20"/>
        </w:rPr>
        <w:t>, 2013</w:t>
      </w:r>
      <w:r w:rsidR="002621D4">
        <w:rPr>
          <w:rFonts w:ascii="Arial" w:hAnsi="Arial" w:cs="Arial"/>
          <w:b/>
          <w:bCs/>
          <w:sz w:val="20"/>
          <w:szCs w:val="20"/>
        </w:rPr>
        <w:t xml:space="preserve"> 12:20-1:30 LB-2</w:t>
      </w:r>
      <w:r w:rsidR="00B90EEF">
        <w:rPr>
          <w:rFonts w:ascii="Arial" w:hAnsi="Arial" w:cs="Arial"/>
          <w:b/>
          <w:bCs/>
          <w:sz w:val="20"/>
          <w:szCs w:val="20"/>
        </w:rPr>
        <w:t>05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was called to order at 12:25 p.m.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Members Present</w:t>
      </w:r>
      <w:r>
        <w:rPr>
          <w:rFonts w:ascii="Arial" w:hAnsi="Arial" w:cs="Arial"/>
          <w:sz w:val="22"/>
          <w:szCs w:val="22"/>
        </w:rPr>
        <w:t xml:space="preserve">: Jayne Campbell, Stacy </w:t>
      </w:r>
      <w:proofErr w:type="spellStart"/>
      <w:r>
        <w:rPr>
          <w:rFonts w:ascii="Arial" w:hAnsi="Arial" w:cs="Arial"/>
          <w:sz w:val="22"/>
          <w:szCs w:val="22"/>
        </w:rPr>
        <w:t>Jazan</w:t>
      </w:r>
      <w:proofErr w:type="spellEnd"/>
      <w:r>
        <w:rPr>
          <w:rFonts w:ascii="Arial" w:hAnsi="Arial" w:cs="Arial"/>
          <w:sz w:val="22"/>
          <w:szCs w:val="22"/>
        </w:rPr>
        <w:t xml:space="preserve">, Dora </w:t>
      </w:r>
      <w:proofErr w:type="spellStart"/>
      <w:r>
        <w:rPr>
          <w:rFonts w:ascii="Arial" w:hAnsi="Arial" w:cs="Arial"/>
          <w:sz w:val="22"/>
          <w:szCs w:val="22"/>
        </w:rPr>
        <w:t>Krannig</w:t>
      </w:r>
      <w:proofErr w:type="spellEnd"/>
      <w:r>
        <w:rPr>
          <w:rFonts w:ascii="Arial" w:hAnsi="Arial" w:cs="Arial"/>
          <w:sz w:val="22"/>
          <w:szCs w:val="22"/>
        </w:rPr>
        <w:t xml:space="preserve">, Maria </w:t>
      </w:r>
      <w:proofErr w:type="spellStart"/>
      <w:r>
        <w:rPr>
          <w:rFonts w:ascii="Arial" w:hAnsi="Arial" w:cs="Arial"/>
          <w:sz w:val="22"/>
          <w:szCs w:val="22"/>
        </w:rPr>
        <w:t>Kretzman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43553">
        <w:rPr>
          <w:rFonts w:ascii="Arial" w:hAnsi="Arial" w:cs="Arial"/>
          <w:sz w:val="22"/>
          <w:szCs w:val="22"/>
        </w:rPr>
        <w:t>Margaret Mansour</w:t>
      </w:r>
      <w:r w:rsidR="00827A8B">
        <w:rPr>
          <w:rFonts w:ascii="Arial" w:hAnsi="Arial" w:cs="Arial"/>
          <w:sz w:val="22"/>
          <w:szCs w:val="22"/>
        </w:rPr>
        <w:t>, Sarah McL</w:t>
      </w:r>
      <w:r>
        <w:rPr>
          <w:rFonts w:ascii="Arial" w:hAnsi="Arial" w:cs="Arial"/>
          <w:sz w:val="22"/>
          <w:szCs w:val="22"/>
        </w:rPr>
        <w:t xml:space="preserve">emore, </w:t>
      </w:r>
      <w:r w:rsidR="00827A8B">
        <w:rPr>
          <w:rFonts w:ascii="Arial" w:hAnsi="Arial" w:cs="Arial"/>
          <w:sz w:val="22"/>
          <w:szCs w:val="22"/>
        </w:rPr>
        <w:t>Rory Schlueter</w:t>
      </w:r>
      <w:r>
        <w:rPr>
          <w:rFonts w:ascii="Arial" w:hAnsi="Arial" w:cs="Arial"/>
          <w:sz w:val="22"/>
          <w:szCs w:val="22"/>
        </w:rPr>
        <w:t xml:space="preserve">, </w:t>
      </w:r>
      <w:r w:rsidR="0001550E">
        <w:rPr>
          <w:rFonts w:ascii="Arial" w:hAnsi="Arial" w:cs="Arial"/>
          <w:sz w:val="22"/>
          <w:szCs w:val="22"/>
        </w:rPr>
        <w:t xml:space="preserve">Rosemarie Shamieh, </w:t>
      </w:r>
      <w:r>
        <w:rPr>
          <w:rFonts w:ascii="Arial" w:hAnsi="Arial" w:cs="Arial"/>
          <w:sz w:val="22"/>
          <w:szCs w:val="22"/>
        </w:rPr>
        <w:t>Kirk Vaughn, Yvette Ybarra (Chair)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ind w:left="1890" w:hanging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 xml:space="preserve"> Roger Bowerman, Jennifer Krestow, </w:t>
      </w:r>
      <w:r w:rsidR="00A43553">
        <w:rPr>
          <w:rFonts w:ascii="Arial" w:hAnsi="Arial" w:cs="Arial"/>
          <w:sz w:val="22"/>
          <w:szCs w:val="22"/>
        </w:rPr>
        <w:t xml:space="preserve">Dave Martin, </w:t>
      </w:r>
      <w:r w:rsidR="00827A8B">
        <w:rPr>
          <w:rFonts w:ascii="Arial" w:hAnsi="Arial" w:cs="Arial"/>
          <w:sz w:val="22"/>
          <w:szCs w:val="22"/>
        </w:rPr>
        <w:t>Margaret Mansour</w:t>
      </w:r>
      <w:r w:rsidR="0001550E">
        <w:rPr>
          <w:rFonts w:ascii="Arial" w:hAnsi="Arial" w:cs="Arial"/>
          <w:sz w:val="22"/>
          <w:szCs w:val="22"/>
        </w:rPr>
        <w:t>,</w:t>
      </w:r>
      <w:r w:rsidR="00827A8B">
        <w:rPr>
          <w:rFonts w:ascii="Arial" w:hAnsi="Arial" w:cs="Arial"/>
          <w:sz w:val="22"/>
          <w:szCs w:val="22"/>
        </w:rPr>
        <w:t xml:space="preserve"> Charlotte Schulten</w:t>
      </w:r>
      <w:r w:rsidR="0001550E">
        <w:rPr>
          <w:rFonts w:ascii="Arial" w:hAnsi="Arial" w:cs="Arial"/>
          <w:sz w:val="22"/>
          <w:szCs w:val="22"/>
        </w:rPr>
        <w:t>, Timothy Vale</w:t>
      </w:r>
      <w:r w:rsidR="00A43553">
        <w:rPr>
          <w:rFonts w:ascii="Arial" w:hAnsi="Arial" w:cs="Arial"/>
          <w:sz w:val="22"/>
          <w:szCs w:val="22"/>
        </w:rPr>
        <w:t>, Karen Hamilton, John Rome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Proxies</w:t>
      </w:r>
      <w:r>
        <w:rPr>
          <w:rFonts w:ascii="Calibri" w:eastAsia="Calibri" w:hAnsi="Calibri"/>
          <w:b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</w:p>
    <w:p w:rsidR="002621D4" w:rsidRDefault="002621D4" w:rsidP="002621D4">
      <w:pPr>
        <w:widowControl/>
        <w:autoSpaceDE/>
        <w:adjustRightInd/>
        <w:rPr>
          <w:rFonts w:ascii="Calibri" w:eastAsia="Calibri" w:hAnsi="Calibri"/>
          <w:b/>
          <w:sz w:val="22"/>
          <w:szCs w:val="22"/>
          <w:u w:val="single"/>
        </w:rPr>
      </w:pP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Quorum</w:t>
      </w:r>
      <w:r>
        <w:rPr>
          <w:rFonts w:ascii="Calibri" w:eastAsia="Calibri" w:hAnsi="Calibri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</w:t>
      </w:r>
      <w:r w:rsidR="00A4355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/16 </w:t>
      </w:r>
    </w:p>
    <w:p w:rsidR="002621D4" w:rsidRDefault="002621D4" w:rsidP="002621D4">
      <w:pPr>
        <w:widowControl/>
        <w:autoSpaceDE/>
        <w:adjustRightInd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Guests: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A43553">
        <w:rPr>
          <w:rFonts w:ascii="Calibri" w:eastAsia="Calibri" w:hAnsi="Calibri"/>
          <w:sz w:val="22"/>
          <w:szCs w:val="22"/>
        </w:rPr>
        <w:t>Susie Chin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APPROVAL OF MINUTES – </w:t>
      </w:r>
      <w:r w:rsidR="00DF034E">
        <w:rPr>
          <w:rFonts w:ascii="Arial" w:hAnsi="Arial" w:cs="Arial"/>
          <w:b/>
          <w:bCs/>
          <w:sz w:val="22"/>
          <w:szCs w:val="22"/>
          <w:u w:val="single"/>
        </w:rPr>
        <w:t>April 26</w:t>
      </w:r>
      <w:bookmarkStart w:id="0" w:name="_GoBack"/>
      <w:bookmarkEnd w:id="0"/>
      <w:r w:rsidR="00A43553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993A36">
        <w:rPr>
          <w:rFonts w:ascii="Arial" w:hAnsi="Arial" w:cs="Arial"/>
          <w:b/>
          <w:bCs/>
          <w:sz w:val="22"/>
          <w:szCs w:val="22"/>
          <w:u w:val="single"/>
        </w:rPr>
        <w:t xml:space="preserve"> 2013</w:t>
      </w:r>
    </w:p>
    <w:p w:rsidR="002621D4" w:rsidRDefault="002621D4" w:rsidP="002621D4">
      <w:pPr>
        <w:widowControl/>
        <w:rPr>
          <w:rFonts w:ascii="Univers" w:hAnsi="Univers" w:cs="Univers"/>
          <w:sz w:val="22"/>
          <w:szCs w:val="22"/>
        </w:rPr>
      </w:pP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  <w:r>
        <w:rPr>
          <w:rFonts w:ascii="Univers" w:hAnsi="Univers" w:cs="Univers"/>
          <w:sz w:val="22"/>
          <w:szCs w:val="22"/>
        </w:rPr>
        <w:t xml:space="preserve">It was MSC (McLemore/Jazan) that the minutes of </w:t>
      </w:r>
      <w:r w:rsidR="00A43553">
        <w:rPr>
          <w:rFonts w:ascii="Univers" w:hAnsi="Univers" w:cs="Univers"/>
          <w:sz w:val="22"/>
          <w:szCs w:val="22"/>
        </w:rPr>
        <w:t>March</w:t>
      </w:r>
      <w:r w:rsidR="00AE50B8">
        <w:rPr>
          <w:rFonts w:ascii="Univers" w:hAnsi="Univers" w:cs="Univers"/>
          <w:sz w:val="22"/>
          <w:szCs w:val="22"/>
        </w:rPr>
        <w:t xml:space="preserve"> 28</w:t>
      </w:r>
      <w:r w:rsidR="00D15B89">
        <w:rPr>
          <w:rFonts w:ascii="Univers" w:hAnsi="Univers" w:cs="Univers"/>
          <w:sz w:val="22"/>
          <w:szCs w:val="22"/>
        </w:rPr>
        <w:t>,</w:t>
      </w:r>
      <w:r w:rsidR="00B90EEF">
        <w:rPr>
          <w:rFonts w:ascii="Univers" w:hAnsi="Univers" w:cs="Univers"/>
          <w:sz w:val="22"/>
          <w:szCs w:val="22"/>
        </w:rPr>
        <w:t xml:space="preserve"> </w:t>
      </w:r>
      <w:r w:rsidR="00A43553">
        <w:rPr>
          <w:rFonts w:ascii="Univers" w:hAnsi="Univers" w:cs="Univers"/>
          <w:sz w:val="22"/>
          <w:szCs w:val="22"/>
        </w:rPr>
        <w:t>2013</w:t>
      </w:r>
      <w:r>
        <w:rPr>
          <w:rFonts w:ascii="Univers" w:hAnsi="Univers" w:cs="Univers"/>
          <w:sz w:val="22"/>
          <w:szCs w:val="22"/>
        </w:rPr>
        <w:t xml:space="preserve"> be approved.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INFORMATION ITEMS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tbl>
      <w:tblPr>
        <w:tblW w:w="10005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6"/>
        <w:gridCol w:w="4319"/>
      </w:tblGrid>
      <w:tr w:rsidR="002621D4" w:rsidTr="00493AA4">
        <w:trPr>
          <w:trHeight w:val="930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sz w:val="22"/>
                <w:szCs w:val="22"/>
              </w:rPr>
            </w:pPr>
          </w:p>
          <w:p w:rsidR="002621D4" w:rsidRDefault="002621D4" w:rsidP="002621D4">
            <w:pPr>
              <w:widowControl/>
              <w:tabs>
                <w:tab w:val="left" w:pos="443"/>
              </w:tabs>
              <w:ind w:left="443"/>
              <w:rPr>
                <w:rFonts w:ascii="Arial" w:hAnsi="Arial" w:cs="Arial"/>
                <w:sz w:val="22"/>
                <w:szCs w:val="22"/>
              </w:rPr>
            </w:pPr>
          </w:p>
          <w:p w:rsidR="002621D4" w:rsidRDefault="00AE50B8" w:rsidP="00676B09">
            <w:pPr>
              <w:widowControl/>
              <w:numPr>
                <w:ilvl w:val="0"/>
                <w:numId w:val="1"/>
              </w:numPr>
              <w:tabs>
                <w:tab w:val="left" w:pos="443"/>
              </w:tabs>
              <w:ind w:left="443" w:hanging="4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Informational items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sz w:val="22"/>
                <w:szCs w:val="22"/>
              </w:rPr>
            </w:pPr>
          </w:p>
          <w:p w:rsidR="002621D4" w:rsidRPr="00AE50B8" w:rsidRDefault="002621D4" w:rsidP="00AE50B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Outcome</w:t>
            </w:r>
          </w:p>
        </w:tc>
      </w:tr>
    </w:tbl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2"/>
          <w:szCs w:val="22"/>
          <w:u w:val="single"/>
        </w:rPr>
      </w:pPr>
    </w:p>
    <w:p w:rsidR="002621D4" w:rsidRDefault="00493AA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Program Review Questions 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005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6"/>
        <w:gridCol w:w="4319"/>
      </w:tblGrid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2621D4" w:rsidRDefault="00AE50B8" w:rsidP="00676B09">
            <w:pPr>
              <w:widowControl/>
              <w:numPr>
                <w:ilvl w:val="0"/>
                <w:numId w:val="3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443"/>
              </w:tabs>
              <w:spacing w:after="9"/>
              <w:ind w:left="4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Format of questions for Program Review focusing on PLOS/changes, improvements and outcomes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sz w:val="22"/>
                <w:szCs w:val="22"/>
              </w:rPr>
            </w:pPr>
          </w:p>
          <w:p w:rsidR="002621D4" w:rsidRDefault="002621D4" w:rsidP="002621D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Outcome</w:t>
            </w:r>
          </w:p>
          <w:p w:rsidR="00F9784B" w:rsidRDefault="00F9784B" w:rsidP="00493AA4">
            <w:pPr>
              <w:pStyle w:val="ListParagraph"/>
              <w:widowControl/>
              <w:numPr>
                <w:ilvl w:val="0"/>
                <w:numId w:val="3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Suggestion to include wording in Program Review that include</w:t>
            </w:r>
          </w:p>
          <w:p w:rsidR="002621D4" w:rsidRDefault="00F9784B" w:rsidP="00F9784B">
            <w:pPr>
              <w:pStyle w:val="ListParagraph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“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direct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changes” to courses or program development due to assessment and/or cycles.</w:t>
            </w:r>
          </w:p>
          <w:p w:rsidR="00F9784B" w:rsidRDefault="00F9784B" w:rsidP="00F9784B">
            <w:pPr>
              <w:pStyle w:val="ListParagraph"/>
              <w:widowControl/>
              <w:numPr>
                <w:ilvl w:val="0"/>
                <w:numId w:val="3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Suggestion to include PLO assessment and c</w:t>
            </w:r>
            <w:r w:rsidR="00054D1C">
              <w:rPr>
                <w:rFonts w:ascii="Arial" w:hAnsi="Arial" w:cs="Arial"/>
                <w:sz w:val="22"/>
                <w:szCs w:val="22"/>
              </w:rPr>
              <w:t xml:space="preserve">hanges made to programs. </w:t>
            </w:r>
          </w:p>
          <w:p w:rsidR="00054D1C" w:rsidRDefault="00054D1C" w:rsidP="00F9784B">
            <w:pPr>
              <w:pStyle w:val="ListParagraph"/>
              <w:widowControl/>
              <w:numPr>
                <w:ilvl w:val="0"/>
                <w:numId w:val="3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Suggestion to make the document more simple and user friendly</w:t>
            </w:r>
          </w:p>
          <w:p w:rsidR="00054D1C" w:rsidRDefault="00054D1C" w:rsidP="00F9784B">
            <w:pPr>
              <w:pStyle w:val="ListParagraph"/>
              <w:widowControl/>
              <w:numPr>
                <w:ilvl w:val="0"/>
                <w:numId w:val="3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item: Forward suggestions to Jill Lewis. </w:t>
            </w:r>
          </w:p>
          <w:p w:rsidR="00F9784B" w:rsidRPr="00493AA4" w:rsidRDefault="00F9784B" w:rsidP="00F9784B">
            <w:pPr>
              <w:pStyle w:val="ListParagraph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Star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054D1C" w:rsidRDefault="00054D1C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054D1C" w:rsidRDefault="00054D1C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607B23" w:rsidRDefault="00607B23" w:rsidP="00054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Univers" w:hAnsi="Univers" w:cs="Univers"/>
          <w:b/>
          <w:bCs/>
          <w:sz w:val="22"/>
          <w:szCs w:val="22"/>
          <w:u w:val="single"/>
        </w:rPr>
      </w:pPr>
    </w:p>
    <w:p w:rsidR="00580E42" w:rsidRDefault="00580E42" w:rsidP="00054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Univers" w:hAnsi="Univers" w:cs="Univers"/>
          <w:b/>
          <w:bCs/>
          <w:sz w:val="22"/>
          <w:szCs w:val="22"/>
          <w:u w:val="single"/>
        </w:rPr>
      </w:pPr>
    </w:p>
    <w:p w:rsidR="00580E42" w:rsidRDefault="00580E42" w:rsidP="00054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Univers" w:hAnsi="Univers" w:cs="Univers"/>
          <w:b/>
          <w:bCs/>
          <w:sz w:val="22"/>
          <w:szCs w:val="22"/>
          <w:u w:val="single"/>
        </w:rPr>
      </w:pPr>
    </w:p>
    <w:p w:rsidR="00580E42" w:rsidRDefault="00580E42" w:rsidP="00054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Univers" w:hAnsi="Univers" w:cs="Univers"/>
          <w:b/>
          <w:bCs/>
          <w:sz w:val="22"/>
          <w:szCs w:val="22"/>
          <w:u w:val="single"/>
        </w:rPr>
      </w:pPr>
    </w:p>
    <w:p w:rsidR="00054D1C" w:rsidRDefault="00054D1C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Univers" w:hAnsi="Univers" w:cs="Univers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Design of SLO</w:t>
      </w:r>
    </w:p>
    <w:tbl>
      <w:tblPr>
        <w:tblW w:w="10005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6"/>
        <w:gridCol w:w="4319"/>
      </w:tblGrid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</w:p>
          <w:p w:rsidR="002621D4" w:rsidRDefault="002621D4" w:rsidP="00AE50B8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Univers" w:hAnsi="Univers" w:cs="Univers"/>
                <w:bCs/>
                <w:sz w:val="22"/>
                <w:szCs w:val="22"/>
              </w:rPr>
              <w:t xml:space="preserve"> </w:t>
            </w:r>
            <w:r w:rsidR="00AE50B8">
              <w:rPr>
                <w:rFonts w:ascii="Univers" w:hAnsi="Univers" w:cs="Univers"/>
                <w:bCs/>
                <w:sz w:val="22"/>
                <w:szCs w:val="22"/>
              </w:rPr>
              <w:t>Design of SLOs more general or less general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</w:p>
          <w:p w:rsidR="002621D4" w:rsidRDefault="002621D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  <w:t>Outcome</w:t>
            </w:r>
          </w:p>
          <w:p w:rsidR="00054D1C" w:rsidRDefault="00580E42" w:rsidP="00054D1C">
            <w:pPr>
              <w:pStyle w:val="ListParagraph"/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Univers" w:hAnsi="Univers" w:cs="Univers"/>
                <w:bCs/>
                <w:iCs/>
                <w:sz w:val="22"/>
                <w:szCs w:val="22"/>
              </w:rPr>
            </w:pPr>
            <w:r>
              <w:rPr>
                <w:rFonts w:ascii="Univers" w:hAnsi="Univers" w:cs="Univers"/>
                <w:bCs/>
                <w:iCs/>
                <w:sz w:val="22"/>
                <w:szCs w:val="22"/>
              </w:rPr>
              <w:t>Ybarra explained the need to c</w:t>
            </w:r>
            <w:r w:rsidR="00054D1C">
              <w:rPr>
                <w:rFonts w:ascii="Univers" w:hAnsi="Univers" w:cs="Univers"/>
                <w:bCs/>
                <w:iCs/>
                <w:sz w:val="22"/>
                <w:szCs w:val="22"/>
              </w:rPr>
              <w:t>reat</w:t>
            </w:r>
            <w:r>
              <w:rPr>
                <w:rFonts w:ascii="Univers" w:hAnsi="Univers" w:cs="Univers"/>
                <w:bCs/>
                <w:iCs/>
                <w:sz w:val="22"/>
                <w:szCs w:val="22"/>
              </w:rPr>
              <w:t>e</w:t>
            </w:r>
            <w:r w:rsidR="00054D1C">
              <w:rPr>
                <w:rFonts w:ascii="Univers" w:hAnsi="Univers" w:cs="Univers"/>
                <w:bCs/>
                <w:iCs/>
                <w:sz w:val="22"/>
                <w:szCs w:val="22"/>
              </w:rPr>
              <w:t xml:space="preserve"> a more global and “umbrella” format regarding SLO/PLO design.</w:t>
            </w:r>
          </w:p>
          <w:p w:rsidR="002621D4" w:rsidRPr="00580E42" w:rsidRDefault="00446266" w:rsidP="00580E42">
            <w:pPr>
              <w:pStyle w:val="ListParagraph"/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Univers" w:hAnsi="Univers" w:cs="Univers"/>
                <w:bCs/>
                <w:iCs/>
                <w:sz w:val="22"/>
                <w:szCs w:val="22"/>
              </w:rPr>
            </w:pPr>
            <w:r>
              <w:rPr>
                <w:rFonts w:ascii="Univers" w:hAnsi="Univers" w:cs="Univers"/>
                <w:bCs/>
                <w:iCs/>
                <w:sz w:val="22"/>
                <w:szCs w:val="22"/>
              </w:rPr>
              <w:t>It was explained to committee members that this will allow for many different assessments to be used for one SLO/PLO.</w:t>
            </w:r>
          </w:p>
        </w:tc>
      </w:tr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630"/>
        <w:rPr>
          <w:rFonts w:ascii="Univers" w:hAnsi="Univers" w:cs="Univers"/>
          <w:b/>
          <w:bCs/>
          <w:sz w:val="22"/>
          <w:szCs w:val="22"/>
          <w:u w:val="single"/>
        </w:rPr>
      </w:pPr>
    </w:p>
    <w:p w:rsidR="002621D4" w:rsidRDefault="00493AA4" w:rsidP="00580E42">
      <w:pPr>
        <w:widowControl/>
        <w:pBdr>
          <w:top w:val="single" w:sz="6" w:space="0" w:color="FFFFFF"/>
          <w:left w:val="single" w:sz="6" w:space="5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SLOs and Exit Standards</w:t>
      </w:r>
    </w:p>
    <w:tbl>
      <w:tblPr>
        <w:tblW w:w="10005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6"/>
        <w:gridCol w:w="4319"/>
      </w:tblGrid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AE50B8" w:rsidRDefault="00AE50B8" w:rsidP="00AE50B8">
            <w:pPr>
              <w:widowControl/>
              <w:tabs>
                <w:tab w:val="left" w:pos="0"/>
                <w:tab w:val="left" w:pos="443"/>
                <w:tab w:val="left" w:pos="80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80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2621D4" w:rsidRPr="00AE50B8" w:rsidRDefault="00AE50B8" w:rsidP="00AE50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SLOs are not exit standards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2621D4" w:rsidRDefault="002621D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jc w:val="center"/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  <w:t>Outcome</w:t>
            </w:r>
          </w:p>
          <w:p w:rsidR="002621D4" w:rsidRPr="00446266" w:rsidRDefault="00446266" w:rsidP="00676B09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Ybarra referred to example (pg1) explaining exit standards are the set objectives or specific skills students should learn and SLOs are the “big picture”.</w:t>
            </w:r>
          </w:p>
          <w:p w:rsidR="00446266" w:rsidRPr="00607B23" w:rsidRDefault="00446266" w:rsidP="00607B23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Schlueter mentioned in the past exit standards where used as SLOs. Ybarra agreed that this</w:t>
            </w:r>
            <w:r w:rsidR="00607B23">
              <w:rPr>
                <w:rFonts w:ascii="Arial" w:hAnsi="Arial" w:cs="Arial"/>
                <w:bCs/>
                <w:sz w:val="22"/>
                <w:szCs w:val="22"/>
              </w:rPr>
              <w:t xml:space="preserve"> was common practice but the need to change our thought process regarding exit standards and SLOs is crucial.</w:t>
            </w:r>
          </w:p>
          <w:p w:rsidR="00607B23" w:rsidRDefault="00607B23" w:rsidP="00607B23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Committee members understood and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Jazen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suggested a workshop to encourage this change.</w:t>
            </w:r>
          </w:p>
        </w:tc>
      </w:tr>
    </w:tbl>
    <w:p w:rsidR="00AE50B8" w:rsidRDefault="00AE50B8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</w:rPr>
      </w:pPr>
    </w:p>
    <w:p w:rsidR="00AE50B8" w:rsidRPr="00580E42" w:rsidRDefault="00493AA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580E42">
        <w:rPr>
          <w:rFonts w:ascii="Arial" w:hAnsi="Arial" w:cs="Arial"/>
          <w:b/>
          <w:bCs/>
          <w:sz w:val="22"/>
          <w:szCs w:val="22"/>
          <w:u w:val="single"/>
        </w:rPr>
        <w:t>SLO Review</w:t>
      </w:r>
    </w:p>
    <w:tbl>
      <w:tblPr>
        <w:tblW w:w="10005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6"/>
        <w:gridCol w:w="4319"/>
      </w:tblGrid>
      <w:tr w:rsidR="00607B23" w:rsidTr="00D13FFE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607B23" w:rsidRDefault="00607B23" w:rsidP="00D13FFE">
            <w:pPr>
              <w:widowControl/>
              <w:tabs>
                <w:tab w:val="left" w:pos="0"/>
                <w:tab w:val="left" w:pos="443"/>
                <w:tab w:val="left" w:pos="80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80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607B23" w:rsidRPr="00AE50B8" w:rsidRDefault="00607B23" w:rsidP="00607B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SLO/PLO review before course approval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B23" w:rsidRDefault="00607B23" w:rsidP="00D13FFE">
            <w:pPr>
              <w:spacing w:line="9" w:lineRule="exac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607B23" w:rsidRDefault="00607B23" w:rsidP="00D13FF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jc w:val="center"/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  <w:t>Outcome</w:t>
            </w:r>
          </w:p>
          <w:p w:rsidR="00607B23" w:rsidRPr="00607B23" w:rsidRDefault="00607B23" w:rsidP="00D13FFE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Ybarra explained that many colleges are using a sub-committee of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C&amp;I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review SLOs before course approval. </w:t>
            </w:r>
          </w:p>
          <w:p w:rsidR="00607B23" w:rsidRPr="00607B23" w:rsidRDefault="00607B23" w:rsidP="00D13FFE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Kretzman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Schlueter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felt that C&amp;I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was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already overburden and to create a C&amp;I sub-committee to focus on SLOs</w:t>
            </w:r>
            <w:r w:rsidR="00580E42">
              <w:rPr>
                <w:rFonts w:ascii="Arial" w:hAnsi="Arial" w:cs="Arial"/>
                <w:bCs/>
                <w:sz w:val="22"/>
                <w:szCs w:val="22"/>
              </w:rPr>
              <w:t xml:space="preserve"> would not be beneficial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:rsidR="00607B23" w:rsidRPr="00607B23" w:rsidRDefault="00607B23" w:rsidP="00D13FFE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Schlueter </w:t>
            </w:r>
            <w:r w:rsidR="00580E42">
              <w:rPr>
                <w:rFonts w:ascii="Arial" w:hAnsi="Arial" w:cs="Arial"/>
                <w:bCs/>
                <w:sz w:val="22"/>
                <w:szCs w:val="22"/>
              </w:rPr>
              <w:t xml:space="preserve">pointed out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goes against the common practice </w:t>
            </w:r>
            <w:r w:rsidR="00580E42">
              <w:rPr>
                <w:rFonts w:ascii="Arial" w:hAnsi="Arial" w:cs="Arial"/>
                <w:bCs/>
                <w:sz w:val="22"/>
                <w:szCs w:val="22"/>
              </w:rPr>
              <w:t>currently in place.</w:t>
            </w:r>
          </w:p>
          <w:p w:rsidR="00607B23" w:rsidRDefault="00607B23" w:rsidP="00D13FFE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 item: Ybarra will investigate other means to review SLOs on course outlines.</w:t>
            </w:r>
          </w:p>
        </w:tc>
      </w:tr>
    </w:tbl>
    <w:p w:rsidR="00AE50B8" w:rsidRDefault="00AE50B8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</w:rPr>
      </w:pPr>
    </w:p>
    <w:p w:rsidR="00AE50B8" w:rsidRDefault="00AE50B8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ADJOURNMENT </w:t>
      </w:r>
      <w:r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meeting was adjourned at</w:t>
      </w:r>
      <w:r w:rsidR="00066040">
        <w:rPr>
          <w:rFonts w:ascii="Arial" w:hAnsi="Arial" w:cs="Arial"/>
          <w:sz w:val="22"/>
          <w:szCs w:val="22"/>
        </w:rPr>
        <w:t xml:space="preserve"> 1:3</w:t>
      </w:r>
      <w:r w:rsidR="00AE50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p.m.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NEXT MEETING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sz w:val="22"/>
          <w:szCs w:val="22"/>
        </w:rPr>
      </w:pPr>
      <w:r w:rsidRPr="00D15B89">
        <w:rPr>
          <w:rFonts w:ascii="Arial" w:hAnsi="Arial" w:cs="Arial"/>
          <w:sz w:val="22"/>
          <w:szCs w:val="22"/>
        </w:rPr>
        <w:t>The next mee</w:t>
      </w:r>
      <w:r w:rsidR="00580E42">
        <w:rPr>
          <w:rFonts w:ascii="Arial" w:hAnsi="Arial" w:cs="Arial"/>
          <w:sz w:val="22"/>
          <w:szCs w:val="22"/>
        </w:rPr>
        <w:t>ting is scheduled for 12:20p.m.</w:t>
      </w:r>
      <w:r w:rsidRPr="00D15B89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="00493AA4">
        <w:rPr>
          <w:rFonts w:ascii="Arial" w:hAnsi="Arial" w:cs="Arial"/>
          <w:sz w:val="22"/>
          <w:szCs w:val="22"/>
        </w:rPr>
        <w:t>May 30</w:t>
      </w:r>
      <w:r w:rsidR="00D15B89">
        <w:rPr>
          <w:rFonts w:ascii="Arial" w:hAnsi="Arial" w:cs="Arial"/>
          <w:sz w:val="22"/>
          <w:szCs w:val="22"/>
        </w:rPr>
        <w:t>, 2013.</w:t>
      </w:r>
    </w:p>
    <w:p w:rsidR="002621D4" w:rsidRDefault="00181192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Respectfully submitted by: </w:t>
      </w:r>
      <w:r w:rsidR="00493AA4">
        <w:rPr>
          <w:rFonts w:ascii="Arial" w:hAnsi="Arial" w:cs="Arial"/>
          <w:sz w:val="22"/>
          <w:szCs w:val="22"/>
        </w:rPr>
        <w:t>Yvette Ybarra</w:t>
      </w:r>
    </w:p>
    <w:p w:rsidR="0000645D" w:rsidRPr="00580E42" w:rsidRDefault="002621D4" w:rsidP="00580E4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reviewed by: Yvette Ybarra (Chair)</w:t>
      </w:r>
    </w:p>
    <w:sectPr w:rsidR="0000645D" w:rsidRPr="00580E42" w:rsidSect="00580E42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532"/>
    <w:multiLevelType w:val="hybridMultilevel"/>
    <w:tmpl w:val="B2D8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E141C"/>
    <w:multiLevelType w:val="hybridMultilevel"/>
    <w:tmpl w:val="EC4A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73FD8"/>
    <w:multiLevelType w:val="hybridMultilevel"/>
    <w:tmpl w:val="19BA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B2958"/>
    <w:multiLevelType w:val="hybridMultilevel"/>
    <w:tmpl w:val="AE3E0288"/>
    <w:lvl w:ilvl="0" w:tplc="040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D4"/>
    <w:rsid w:val="0001550E"/>
    <w:rsid w:val="00054D1C"/>
    <w:rsid w:val="00066040"/>
    <w:rsid w:val="00181192"/>
    <w:rsid w:val="002621D4"/>
    <w:rsid w:val="002A5ED3"/>
    <w:rsid w:val="00446266"/>
    <w:rsid w:val="00493AA4"/>
    <w:rsid w:val="00580E42"/>
    <w:rsid w:val="00590606"/>
    <w:rsid w:val="005A137B"/>
    <w:rsid w:val="00607B23"/>
    <w:rsid w:val="006A4CEF"/>
    <w:rsid w:val="00827A8B"/>
    <w:rsid w:val="00993A36"/>
    <w:rsid w:val="00A20171"/>
    <w:rsid w:val="00A43553"/>
    <w:rsid w:val="00AE50B8"/>
    <w:rsid w:val="00B90EEF"/>
    <w:rsid w:val="00C2267C"/>
    <w:rsid w:val="00D15B89"/>
    <w:rsid w:val="00DF034E"/>
    <w:rsid w:val="00F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1D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1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McLemore</dc:creator>
  <cp:lastModifiedBy>yvette ybarra</cp:lastModifiedBy>
  <cp:revision>2</cp:revision>
  <cp:lastPrinted>2013-09-26T17:33:00Z</cp:lastPrinted>
  <dcterms:created xsi:type="dcterms:W3CDTF">2014-03-21T00:11:00Z</dcterms:created>
  <dcterms:modified xsi:type="dcterms:W3CDTF">2014-03-21T00:11:00Z</dcterms:modified>
</cp:coreProperties>
</file>