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FD1E47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C1755D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DANCE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260"/>
        <w:gridCol w:w="1170"/>
        <w:gridCol w:w="1080"/>
        <w:gridCol w:w="1170"/>
        <w:gridCol w:w="1080"/>
        <w:gridCol w:w="1170"/>
        <w:gridCol w:w="990"/>
        <w:gridCol w:w="1170"/>
      </w:tblGrid>
      <w:tr w:rsidR="00F44D84" w:rsidRPr="002F289A" w:rsidTr="005A01D3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26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5A01D3" w:rsidRPr="002F289A" w:rsidTr="005A01D3">
        <w:trPr>
          <w:trHeight w:val="288"/>
        </w:trPr>
        <w:tc>
          <w:tcPr>
            <w:tcW w:w="153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Dance</w:t>
            </w:r>
          </w:p>
        </w:tc>
        <w:tc>
          <w:tcPr>
            <w:tcW w:w="126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135.1%</w:t>
            </w:r>
          </w:p>
        </w:tc>
        <w:tc>
          <w:tcPr>
            <w:tcW w:w="99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A01D3" w:rsidRPr="002F289A" w:rsidTr="005A01D3">
        <w:trPr>
          <w:trHeight w:val="288"/>
        </w:trPr>
        <w:tc>
          <w:tcPr>
            <w:tcW w:w="153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121.7%</w:t>
            </w:r>
          </w:p>
        </w:tc>
        <w:tc>
          <w:tcPr>
            <w:tcW w:w="99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A01D3" w:rsidRPr="002F289A" w:rsidTr="005A01D3">
        <w:trPr>
          <w:trHeight w:val="288"/>
        </w:trPr>
        <w:tc>
          <w:tcPr>
            <w:tcW w:w="153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98.0%</w:t>
            </w:r>
          </w:p>
        </w:tc>
        <w:tc>
          <w:tcPr>
            <w:tcW w:w="99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A01D3" w:rsidRPr="002F289A" w:rsidTr="005A01D3">
        <w:trPr>
          <w:trHeight w:val="288"/>
        </w:trPr>
        <w:tc>
          <w:tcPr>
            <w:tcW w:w="153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102.7%</w:t>
            </w:r>
          </w:p>
        </w:tc>
        <w:tc>
          <w:tcPr>
            <w:tcW w:w="99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A01D3" w:rsidRPr="002F289A" w:rsidTr="005A01D3">
        <w:trPr>
          <w:trHeight w:val="288"/>
        </w:trPr>
        <w:tc>
          <w:tcPr>
            <w:tcW w:w="153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-22.7%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+39.0%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-44.4%</w:t>
            </w:r>
          </w:p>
        </w:tc>
        <w:tc>
          <w:tcPr>
            <w:tcW w:w="108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-6.3%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-32.3%</w:t>
            </w:r>
          </w:p>
        </w:tc>
        <w:tc>
          <w:tcPr>
            <w:tcW w:w="99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+4.7%</w:t>
            </w:r>
          </w:p>
        </w:tc>
        <w:tc>
          <w:tcPr>
            <w:tcW w:w="1170" w:type="dxa"/>
            <w:vAlign w:val="bottom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-62.5%</w:t>
            </w:r>
          </w:p>
        </w:tc>
      </w:tr>
      <w:tr w:rsidR="005A01D3" w:rsidRPr="002F289A" w:rsidTr="005A01D3">
        <w:trPr>
          <w:trHeight w:val="288"/>
        </w:trPr>
        <w:tc>
          <w:tcPr>
            <w:tcW w:w="153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5A01D3" w:rsidRDefault="005A01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990" w:type="dxa"/>
            <w:vAlign w:val="center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A01D3" w:rsidRDefault="005A0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bookmarkStart w:id="0" w:name="_GoBack"/>
      <w:bookmarkEnd w:id="0"/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5A01D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A01D3" w:rsidRPr="00A675A1" w:rsidRDefault="005A01D3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93.1%</w:t>
            </w:r>
          </w:p>
        </w:tc>
      </w:tr>
      <w:tr w:rsidR="005A01D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A01D3" w:rsidRPr="00A675A1" w:rsidRDefault="005A01D3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96.4%</w:t>
            </w:r>
          </w:p>
        </w:tc>
      </w:tr>
      <w:tr w:rsidR="005A01D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A01D3" w:rsidRPr="00A675A1" w:rsidRDefault="005A01D3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A01D3" w:rsidRPr="005A01D3" w:rsidRDefault="005A0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+3.3%</w:t>
            </w:r>
          </w:p>
        </w:tc>
      </w:tr>
      <w:tr w:rsidR="005A01D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5A01D3" w:rsidRPr="00A675A1" w:rsidRDefault="005A01D3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5A01D3" w:rsidRPr="005A01D3" w:rsidRDefault="005A0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A01D3" w:rsidRPr="005A01D3" w:rsidRDefault="005A0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1D3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A01D3" w:rsidRPr="00B742F6" w:rsidTr="00256E48">
        <w:trPr>
          <w:trHeight w:val="288"/>
        </w:trPr>
        <w:tc>
          <w:tcPr>
            <w:tcW w:w="3888" w:type="dxa"/>
          </w:tcPr>
          <w:p w:rsidR="005A01D3" w:rsidRPr="00A675A1" w:rsidRDefault="005A01D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5A01D3" w:rsidRPr="00A675A1" w:rsidRDefault="005A01D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5A01D3" w:rsidRPr="00A675A1" w:rsidRDefault="005A01D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5A01D3" w:rsidRPr="00A675A1" w:rsidRDefault="005A01D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5A01D3" w:rsidRPr="00A675A1" w:rsidRDefault="005A01D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5A01D3" w:rsidRPr="00A675A1" w:rsidRDefault="005A01D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5A01D3" w:rsidRPr="00A675A1" w:rsidRDefault="005A01D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5A01D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5A01D3" w:rsidRPr="005A01D3" w:rsidRDefault="005A01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1D3">
              <w:rPr>
                <w:rFonts w:ascii="Arial" w:hAnsi="Arial" w:cs="Arial"/>
                <w:color w:val="000000"/>
                <w:sz w:val="20"/>
                <w:szCs w:val="20"/>
              </w:rPr>
              <w:t>Choreographic Studies and Dance Technique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AS</w:t>
            </w:r>
          </w:p>
        </w:tc>
        <w:tc>
          <w:tcPr>
            <w:tcW w:w="63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5A01D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5A01D3" w:rsidRPr="005A01D3" w:rsidRDefault="005A01D3" w:rsidP="005A01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1D3">
              <w:rPr>
                <w:rFonts w:ascii="Arial" w:hAnsi="Arial" w:cs="Arial"/>
                <w:color w:val="000000"/>
                <w:sz w:val="20"/>
                <w:szCs w:val="20"/>
              </w:rPr>
              <w:t>Choreographic Studies and Dance Technique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Certificate</w:t>
            </w:r>
          </w:p>
        </w:tc>
        <w:tc>
          <w:tcPr>
            <w:tcW w:w="63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5A01D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5A01D3" w:rsidRPr="005A01D3" w:rsidRDefault="005A01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1D3">
              <w:rPr>
                <w:rFonts w:ascii="Arial" w:hAnsi="Arial" w:cs="Arial"/>
                <w:color w:val="000000"/>
                <w:sz w:val="20"/>
                <w:szCs w:val="20"/>
              </w:rPr>
              <w:t xml:space="preserve">Choreographic Studies and Dance </w:t>
            </w:r>
            <w:r w:rsidRPr="005A01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Techniques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AA</w:t>
            </w:r>
          </w:p>
        </w:tc>
        <w:tc>
          <w:tcPr>
            <w:tcW w:w="63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A01D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5A01D3" w:rsidRPr="005A01D3" w:rsidRDefault="005A01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1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Dance Program</w:t>
            </w:r>
          </w:p>
        </w:tc>
        <w:tc>
          <w:tcPr>
            <w:tcW w:w="63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A01D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5A01D3" w:rsidRPr="005A01D3" w:rsidRDefault="005A01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1D3">
              <w:rPr>
                <w:rFonts w:ascii="Arial" w:hAnsi="Arial" w:cs="Arial"/>
                <w:color w:val="000000"/>
                <w:sz w:val="20"/>
                <w:szCs w:val="20"/>
              </w:rPr>
              <w:t>Dance Teaching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AS</w:t>
            </w:r>
          </w:p>
        </w:tc>
        <w:tc>
          <w:tcPr>
            <w:tcW w:w="63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A01D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5A01D3" w:rsidRPr="005A01D3" w:rsidRDefault="005A01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1D3">
              <w:rPr>
                <w:rFonts w:ascii="Arial" w:hAnsi="Arial" w:cs="Arial"/>
                <w:color w:val="000000"/>
                <w:sz w:val="20"/>
                <w:szCs w:val="20"/>
              </w:rPr>
              <w:t>Dance Teaching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Certificate</w:t>
            </w:r>
          </w:p>
        </w:tc>
        <w:tc>
          <w:tcPr>
            <w:tcW w:w="63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5A01D3" w:rsidRPr="00A675A1" w:rsidRDefault="005A01D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FD1E47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5A01D3">
                    <w:rPr>
                      <w:rFonts w:ascii="Arial" w:hAnsi="Arial" w:cs="Arial"/>
                      <w:b/>
                      <w:sz w:val="32"/>
                      <w:szCs w:val="32"/>
                    </w:rPr>
                    <w:t>DANC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FD1E47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47" w:rsidRDefault="00FD1E47">
      <w:r>
        <w:separator/>
      </w:r>
    </w:p>
  </w:endnote>
  <w:endnote w:type="continuationSeparator" w:id="0">
    <w:p w:rsidR="00FD1E47" w:rsidRDefault="00FD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755D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47" w:rsidRDefault="00FD1E47">
      <w:r>
        <w:separator/>
      </w:r>
    </w:p>
  </w:footnote>
  <w:footnote w:type="continuationSeparator" w:id="0">
    <w:p w:rsidR="00FD1E47" w:rsidRDefault="00FD1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01D3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1755D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024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1E47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760EBC"/>
    <w:rsid w:val="00854C56"/>
    <w:rsid w:val="009B4C7F"/>
    <w:rsid w:val="00A67F46"/>
    <w:rsid w:val="00AC2D8F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E5A9-8E69-4DD1-AD19-4401DCB4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2012-09-24T21:41:00Z</dcterms:created>
  <dcterms:modified xsi:type="dcterms:W3CDTF">2012-09-25T16:15:00Z</dcterms:modified>
</cp:coreProperties>
</file>