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655122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820F1D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MUSIC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820F1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Music</w:t>
            </w:r>
          </w:p>
        </w:tc>
        <w:tc>
          <w:tcPr>
            <w:tcW w:w="135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579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59.1%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95.9%</w:t>
            </w:r>
          </w:p>
        </w:tc>
        <w:tc>
          <w:tcPr>
            <w:tcW w:w="99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71.8%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0F1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58.0%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97.5%</w:t>
            </w:r>
          </w:p>
        </w:tc>
        <w:tc>
          <w:tcPr>
            <w:tcW w:w="99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73.4%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20F1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56.5%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94.7%</w:t>
            </w:r>
          </w:p>
        </w:tc>
        <w:tc>
          <w:tcPr>
            <w:tcW w:w="99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70.1%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20F1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49.3%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96.6%</w:t>
            </w:r>
          </w:p>
        </w:tc>
        <w:tc>
          <w:tcPr>
            <w:tcW w:w="99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73.1%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20F1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+1.0%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+40.1%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-27.9%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-9.8%</w:t>
            </w:r>
          </w:p>
        </w:tc>
        <w:tc>
          <w:tcPr>
            <w:tcW w:w="108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+0.7%</w:t>
            </w:r>
          </w:p>
        </w:tc>
        <w:tc>
          <w:tcPr>
            <w:tcW w:w="99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+1.4%</w:t>
            </w:r>
          </w:p>
        </w:tc>
        <w:tc>
          <w:tcPr>
            <w:tcW w:w="1170" w:type="dxa"/>
            <w:vAlign w:val="bottom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820F1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820F1D" w:rsidRDefault="00820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820F1D" w:rsidRDefault="00820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820F1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9.1%</w:t>
            </w:r>
          </w:p>
        </w:tc>
      </w:tr>
      <w:tr w:rsidR="00820F1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94.1%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43.1%</w:t>
            </w:r>
          </w:p>
        </w:tc>
      </w:tr>
      <w:tr w:rsidR="00820F1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820F1D" w:rsidRPr="00820F1D" w:rsidRDefault="0082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-5.9%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+34.0%</w:t>
            </w:r>
          </w:p>
        </w:tc>
      </w:tr>
      <w:tr w:rsidR="00820F1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820F1D" w:rsidRPr="00820F1D" w:rsidRDefault="0082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20F1D" w:rsidRPr="00820F1D" w:rsidRDefault="00820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1D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D200F2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Music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D200F2" w:rsidRPr="00AD7A98" w:rsidTr="005D21D4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D200F2" w:rsidRPr="00D200F2" w:rsidRDefault="00D20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0F2">
              <w:rPr>
                <w:rFonts w:ascii="Arial" w:hAnsi="Arial" w:cs="Arial"/>
                <w:color w:val="000000"/>
                <w:sz w:val="20"/>
                <w:szCs w:val="20"/>
              </w:rPr>
              <w:t>Music   AA</w:t>
            </w:r>
          </w:p>
        </w:tc>
        <w:tc>
          <w:tcPr>
            <w:tcW w:w="63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D200F2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D200F2" w:rsidRPr="00D200F2" w:rsidRDefault="00D20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0F2">
              <w:rPr>
                <w:rFonts w:ascii="Arial" w:hAnsi="Arial" w:cs="Arial"/>
                <w:color w:val="000000"/>
                <w:sz w:val="20"/>
                <w:szCs w:val="20"/>
              </w:rPr>
              <w:t>Music   AS</w:t>
            </w:r>
          </w:p>
        </w:tc>
        <w:tc>
          <w:tcPr>
            <w:tcW w:w="63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D200F2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D200F2" w:rsidRPr="00D200F2" w:rsidRDefault="00D20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0F2">
              <w:rPr>
                <w:rFonts w:ascii="Arial" w:hAnsi="Arial" w:cs="Arial"/>
                <w:color w:val="000000"/>
                <w:sz w:val="20"/>
                <w:szCs w:val="20"/>
              </w:rPr>
              <w:t>Music   Certificate</w:t>
            </w:r>
          </w:p>
        </w:tc>
        <w:tc>
          <w:tcPr>
            <w:tcW w:w="63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D200F2" w:rsidRPr="00A675A1" w:rsidRDefault="00D200F2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655122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D200F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r w:rsidR="00820F1D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MUS-</w:t>
                  </w:r>
                  <w:bookmarkStart w:id="0" w:name="_GoBack"/>
                  <w:bookmarkEnd w:id="0"/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="008B0762"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655122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22" w:rsidRDefault="00655122">
      <w:r>
        <w:separator/>
      </w:r>
    </w:p>
  </w:endnote>
  <w:endnote w:type="continuationSeparator" w:id="0">
    <w:p w:rsidR="00655122" w:rsidRDefault="0065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6088">
      <w:rPr>
        <w:noProof/>
      </w:rPr>
      <w:t>5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22" w:rsidRDefault="00655122">
      <w:r>
        <w:separator/>
      </w:r>
    </w:p>
  </w:footnote>
  <w:footnote w:type="continuationSeparator" w:id="0">
    <w:p w:rsidR="00655122" w:rsidRDefault="00655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86088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5122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0F2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3968FF"/>
    <w:rsid w:val="005174F4"/>
    <w:rsid w:val="005A1665"/>
    <w:rsid w:val="0060174A"/>
    <w:rsid w:val="00644DB3"/>
    <w:rsid w:val="00854C56"/>
    <w:rsid w:val="00957512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1143-4B4D-4414-92BC-A3527529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2</cp:revision>
  <cp:lastPrinted>2012-09-14T16:51:00Z</cp:lastPrinted>
  <dcterms:created xsi:type="dcterms:W3CDTF">2012-09-24T23:00:00Z</dcterms:created>
  <dcterms:modified xsi:type="dcterms:W3CDTF">2012-09-24T23:00:00Z</dcterms:modified>
</cp:coreProperties>
</file>