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F01E7B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385BD7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NURSING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1350"/>
        <w:gridCol w:w="1260"/>
        <w:gridCol w:w="1170"/>
        <w:gridCol w:w="1170"/>
        <w:gridCol w:w="1170"/>
        <w:gridCol w:w="1170"/>
        <w:gridCol w:w="990"/>
        <w:gridCol w:w="1170"/>
      </w:tblGrid>
      <w:tr w:rsidR="00F44D84" w:rsidRPr="002F289A" w:rsidTr="00423A2C"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Nursing</w:t>
            </w: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26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80.4%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90.4%</w:t>
            </w:r>
          </w:p>
        </w:tc>
        <w:tc>
          <w:tcPr>
            <w:tcW w:w="99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95.0%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26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79.7%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  <w:tc>
          <w:tcPr>
            <w:tcW w:w="99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95.3%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26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87.4%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86.1%</w:t>
            </w:r>
          </w:p>
        </w:tc>
        <w:tc>
          <w:tcPr>
            <w:tcW w:w="99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96.6%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26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84.3%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99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97.3%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26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-37.4%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-11.7%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-29.1%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+3.9%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-12.4%</w:t>
            </w:r>
          </w:p>
        </w:tc>
        <w:tc>
          <w:tcPr>
            <w:tcW w:w="99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+2.2%</w:t>
            </w:r>
          </w:p>
        </w:tc>
        <w:tc>
          <w:tcPr>
            <w:tcW w:w="1170" w:type="dxa"/>
            <w:vAlign w:val="bottom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-19.1%</w:t>
            </w:r>
          </w:p>
        </w:tc>
      </w:tr>
      <w:tr w:rsidR="00423A2C" w:rsidRPr="002F289A" w:rsidTr="00423A2C">
        <w:trPr>
          <w:trHeight w:val="288"/>
        </w:trPr>
        <w:tc>
          <w:tcPr>
            <w:tcW w:w="117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23A2C" w:rsidRP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26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23A2C" w:rsidRP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A2C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23A2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23A2C" w:rsidRPr="00A675A1" w:rsidRDefault="00423A2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</w:tr>
      <w:tr w:rsidR="00423A2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23A2C" w:rsidRPr="00A675A1" w:rsidRDefault="00423A2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77.3%</w:t>
            </w:r>
          </w:p>
        </w:tc>
      </w:tr>
      <w:tr w:rsidR="00423A2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23A2C" w:rsidRPr="00A675A1" w:rsidRDefault="00423A2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+12.3%</w:t>
            </w:r>
          </w:p>
        </w:tc>
      </w:tr>
      <w:tr w:rsidR="00423A2C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23A2C" w:rsidRPr="00A675A1" w:rsidRDefault="00423A2C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23A2C" w:rsidRDefault="00423A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23A2C" w:rsidRDefault="00423A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423A2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23A2C" w:rsidRPr="00423A2C" w:rsidRDefault="00423A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A2C">
              <w:rPr>
                <w:rFonts w:ascii="Arial" w:hAnsi="Arial" w:cs="Arial"/>
                <w:color w:val="000000"/>
                <w:sz w:val="20"/>
                <w:szCs w:val="20"/>
              </w:rPr>
              <w:t>Health Science Option A   AA</w:t>
            </w:r>
          </w:p>
        </w:tc>
        <w:tc>
          <w:tcPr>
            <w:tcW w:w="63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423A2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23A2C" w:rsidRPr="00423A2C" w:rsidRDefault="00423A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A2C">
              <w:rPr>
                <w:rFonts w:ascii="Arial" w:hAnsi="Arial" w:cs="Arial"/>
                <w:color w:val="000000"/>
                <w:sz w:val="20"/>
                <w:szCs w:val="20"/>
              </w:rPr>
              <w:t>Health Science Option B   AA</w:t>
            </w:r>
          </w:p>
        </w:tc>
        <w:tc>
          <w:tcPr>
            <w:tcW w:w="63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423A2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23A2C" w:rsidRPr="00423A2C" w:rsidRDefault="00423A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A2C">
              <w:rPr>
                <w:rFonts w:ascii="Arial" w:hAnsi="Arial" w:cs="Arial"/>
                <w:color w:val="000000"/>
                <w:sz w:val="20"/>
                <w:szCs w:val="20"/>
              </w:rPr>
              <w:t>Registered Nursing   AS</w:t>
            </w:r>
          </w:p>
        </w:tc>
        <w:tc>
          <w:tcPr>
            <w:tcW w:w="63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23A2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423A2C" w:rsidRPr="00423A2C" w:rsidRDefault="00423A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3A2C">
              <w:rPr>
                <w:rFonts w:ascii="Arial" w:hAnsi="Arial" w:cs="Arial"/>
                <w:color w:val="000000"/>
                <w:sz w:val="22"/>
                <w:szCs w:val="22"/>
              </w:rPr>
              <w:t>Registered Nursing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AS</w:t>
            </w:r>
          </w:p>
        </w:tc>
        <w:tc>
          <w:tcPr>
            <w:tcW w:w="63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423A2C" w:rsidRPr="00A675A1" w:rsidRDefault="00423A2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F01E7B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423A2C">
                    <w:rPr>
                      <w:rFonts w:ascii="Arial" w:hAnsi="Arial" w:cs="Arial"/>
                      <w:b/>
                      <w:sz w:val="32"/>
                      <w:szCs w:val="32"/>
                    </w:rPr>
                    <w:t>NURS</w:t>
                  </w:r>
                  <w:proofErr w:type="gramEnd"/>
                  <w:r w:rsidR="00423A2C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F01E7B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7B" w:rsidRDefault="00F01E7B">
      <w:r>
        <w:separator/>
      </w:r>
    </w:p>
  </w:endnote>
  <w:endnote w:type="continuationSeparator" w:id="0">
    <w:p w:rsidR="00F01E7B" w:rsidRDefault="00F0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5BD7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7B" w:rsidRDefault="00F01E7B">
      <w:r>
        <w:separator/>
      </w:r>
    </w:p>
  </w:footnote>
  <w:footnote w:type="continuationSeparator" w:id="0">
    <w:p w:rsidR="00F01E7B" w:rsidRDefault="00F0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85BD7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A2C"/>
    <w:rsid w:val="00423DF2"/>
    <w:rsid w:val="004267BF"/>
    <w:rsid w:val="00437591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7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6736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BC58D4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524F-263A-4DFF-BE13-1C46C274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2012-09-24T17:15:00Z</dcterms:created>
  <dcterms:modified xsi:type="dcterms:W3CDTF">2012-09-25T15:42:00Z</dcterms:modified>
</cp:coreProperties>
</file>