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6E2">
        <w:rPr>
          <w:rFonts w:ascii="Arial" w:hAnsi="Arial"/>
        </w:rPr>
        <w:t xml:space="preserve"> </w:t>
      </w:r>
    </w:p>
    <w:p w:rsidR="001A5169" w:rsidRPr="008B1178" w:rsidRDefault="0036388B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E21C24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BUSAD</w:t>
          </w:r>
        </w:p>
        <w:bookmarkStart w:id="0" w:name="_GoBack" w:displacedByCustomXml="next"/>
        <w:bookmarkEnd w:id="0" w:displacedByCustomXml="next"/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1080"/>
        <w:gridCol w:w="1080"/>
      </w:tblGrid>
      <w:tr w:rsidR="00F44D84" w:rsidRPr="002F289A" w:rsidTr="00491E16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7F79BB" w:rsidRPr="002F289A" w:rsidTr="006F3CB6">
        <w:trPr>
          <w:trHeight w:val="288"/>
        </w:trPr>
        <w:tc>
          <w:tcPr>
            <w:tcW w:w="1530" w:type="dxa"/>
            <w:vAlign w:val="bottom"/>
          </w:tcPr>
          <w:p w:rsidR="007F79BB" w:rsidRDefault="007F79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Business Admin</w:t>
            </w:r>
          </w:p>
        </w:tc>
        <w:tc>
          <w:tcPr>
            <w:tcW w:w="1350" w:type="dxa"/>
            <w:vAlign w:val="bottom"/>
          </w:tcPr>
          <w:p w:rsidR="007F79BB" w:rsidRDefault="007F79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7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117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25.6%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71.3%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71.5%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7F79BB" w:rsidRPr="002F289A" w:rsidTr="006F3CB6">
        <w:trPr>
          <w:trHeight w:val="288"/>
        </w:trPr>
        <w:tc>
          <w:tcPr>
            <w:tcW w:w="1530" w:type="dxa"/>
            <w:vAlign w:val="bottom"/>
          </w:tcPr>
          <w:p w:rsidR="007F79BB" w:rsidRDefault="007F79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7F79BB" w:rsidRDefault="007F79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7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117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22.8%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70.2%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72.8%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7F79BB" w:rsidRPr="002F289A" w:rsidTr="006F3CB6">
        <w:trPr>
          <w:trHeight w:val="288"/>
        </w:trPr>
        <w:tc>
          <w:tcPr>
            <w:tcW w:w="1530" w:type="dxa"/>
            <w:vAlign w:val="bottom"/>
          </w:tcPr>
          <w:p w:rsidR="007F79BB" w:rsidRDefault="007F79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7F79BB" w:rsidRDefault="007F79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7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117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24.7%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92.6%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68.4%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</w:tr>
      <w:tr w:rsidR="007F79BB" w:rsidRPr="002F289A" w:rsidTr="006F3CB6">
        <w:trPr>
          <w:trHeight w:val="288"/>
        </w:trPr>
        <w:tc>
          <w:tcPr>
            <w:tcW w:w="1530" w:type="dxa"/>
            <w:vAlign w:val="bottom"/>
          </w:tcPr>
          <w:p w:rsidR="007F79BB" w:rsidRDefault="007F79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7F79BB" w:rsidRDefault="007F79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7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117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22.8%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93.5%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72.4%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7F79BB" w:rsidRPr="002F289A" w:rsidTr="006F3CB6">
        <w:trPr>
          <w:trHeight w:val="288"/>
        </w:trPr>
        <w:tc>
          <w:tcPr>
            <w:tcW w:w="1530" w:type="dxa"/>
            <w:vAlign w:val="bottom"/>
          </w:tcPr>
          <w:p w:rsidR="007F79BB" w:rsidRDefault="007F79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7F79BB" w:rsidRDefault="007F79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+19.3%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+18.1%</w:t>
            </w:r>
          </w:p>
        </w:tc>
        <w:tc>
          <w:tcPr>
            <w:tcW w:w="117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+1.0%</w:t>
            </w:r>
          </w:p>
        </w:tc>
        <w:tc>
          <w:tcPr>
            <w:tcW w:w="117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-2.8%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+22.2%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+0.9%</w:t>
            </w:r>
          </w:p>
        </w:tc>
        <w:tc>
          <w:tcPr>
            <w:tcW w:w="1080" w:type="dxa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+19.7%</w:t>
            </w:r>
          </w:p>
        </w:tc>
      </w:tr>
      <w:tr w:rsidR="007F79BB" w:rsidRPr="002F289A" w:rsidTr="004178DA">
        <w:trPr>
          <w:trHeight w:val="288"/>
        </w:trPr>
        <w:tc>
          <w:tcPr>
            <w:tcW w:w="1530" w:type="dxa"/>
            <w:vAlign w:val="bottom"/>
          </w:tcPr>
          <w:p w:rsidR="007F79BB" w:rsidRDefault="007F79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7F79BB" w:rsidRDefault="007F79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2D0F8E">
        <w:tc>
          <w:tcPr>
            <w:tcW w:w="1638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with SLOs Defined</w:t>
            </w:r>
          </w:p>
        </w:tc>
        <w:tc>
          <w:tcPr>
            <w:tcW w:w="252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7F79BB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7F79BB" w:rsidRPr="002D0F8E" w:rsidRDefault="007F79BB">
            <w:pPr>
              <w:rPr>
                <w:rFonts w:ascii="Arial" w:hAnsi="Arial" w:cs="Arial"/>
                <w:sz w:val="18"/>
                <w:szCs w:val="18"/>
              </w:rPr>
            </w:pPr>
            <w:r w:rsidRPr="002D0F8E"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7.1%</w:t>
            </w:r>
          </w:p>
        </w:tc>
      </w:tr>
      <w:tr w:rsidR="007F79BB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7F79BB" w:rsidRPr="002D0F8E" w:rsidRDefault="007F79BB">
            <w:pPr>
              <w:rPr>
                <w:rFonts w:ascii="Arial" w:hAnsi="Arial" w:cs="Arial"/>
                <w:sz w:val="18"/>
                <w:szCs w:val="18"/>
              </w:rPr>
            </w:pPr>
            <w:r w:rsidRPr="002D0F8E"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34.6%</w:t>
            </w:r>
          </w:p>
        </w:tc>
      </w:tr>
      <w:tr w:rsidR="007F79BB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7F79BB" w:rsidRPr="002D0F8E" w:rsidRDefault="007F79BB">
            <w:pPr>
              <w:rPr>
                <w:rFonts w:ascii="Arial" w:hAnsi="Arial" w:cs="Arial"/>
                <w:sz w:val="18"/>
                <w:szCs w:val="18"/>
              </w:rPr>
            </w:pPr>
            <w:r w:rsidRPr="002D0F8E"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7F79BB" w:rsidRDefault="007F79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+17.9%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7F79BB" w:rsidRDefault="007F7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+27.5%</w:t>
            </w:r>
          </w:p>
        </w:tc>
      </w:tr>
      <w:tr w:rsidR="005E35D4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5E35D4" w:rsidRPr="002D0F8E" w:rsidRDefault="005E35D4">
            <w:pPr>
              <w:rPr>
                <w:rFonts w:ascii="Arial" w:hAnsi="Arial" w:cs="Arial"/>
                <w:sz w:val="18"/>
                <w:szCs w:val="18"/>
              </w:rPr>
            </w:pPr>
            <w:r w:rsidRPr="002D0F8E"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5E35D4" w:rsidRPr="002D0F8E" w:rsidRDefault="005E35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5E35D4" w:rsidRPr="002D0F8E" w:rsidRDefault="005E35D4" w:rsidP="002D0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5E35D4" w:rsidRPr="002D0F8E" w:rsidRDefault="005E35D4" w:rsidP="002D0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E732D2" w:rsidRPr="00B742F6" w:rsidTr="00256E48">
        <w:trPr>
          <w:trHeight w:val="288"/>
        </w:trPr>
        <w:tc>
          <w:tcPr>
            <w:tcW w:w="3888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E732D2" w:rsidRPr="00B742F6" w:rsidTr="00256E48">
        <w:trPr>
          <w:trHeight w:val="288"/>
        </w:trPr>
        <w:tc>
          <w:tcPr>
            <w:tcW w:w="3888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6C6343" w:rsidRDefault="00E732D2" w:rsidP="00423DF2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72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256E48">
        <w:tc>
          <w:tcPr>
            <w:tcW w:w="388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732D2">
        <w:trPr>
          <w:trHeight w:val="288"/>
        </w:trPr>
        <w:tc>
          <w:tcPr>
            <w:tcW w:w="388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7F79BB" w:rsidRPr="00AD7A98" w:rsidTr="00673828">
        <w:trPr>
          <w:trHeight w:val="288"/>
        </w:trPr>
        <w:tc>
          <w:tcPr>
            <w:tcW w:w="3888" w:type="dxa"/>
            <w:shd w:val="clear" w:color="auto" w:fill="auto"/>
            <w:vAlign w:val="bottom"/>
          </w:tcPr>
          <w:p w:rsidR="007F79BB" w:rsidRPr="007F79BB" w:rsidRDefault="007F79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79BB">
              <w:rPr>
                <w:rFonts w:ascii="Arial" w:hAnsi="Arial" w:cs="Arial"/>
                <w:color w:val="000000"/>
                <w:sz w:val="22"/>
                <w:szCs w:val="22"/>
              </w:rPr>
              <w:t>Business Administration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AA</w:t>
            </w:r>
          </w:p>
        </w:tc>
        <w:tc>
          <w:tcPr>
            <w:tcW w:w="720" w:type="dxa"/>
            <w:shd w:val="clear" w:color="auto" w:fill="auto"/>
          </w:tcPr>
          <w:p w:rsidR="007F79BB" w:rsidRPr="002636BE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7F79BB" w:rsidRPr="002636BE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7F79BB" w:rsidRPr="002636BE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7F79BB" w:rsidRPr="002636BE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7F79BB" w:rsidRPr="002636BE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7F79BB" w:rsidRPr="002636BE" w:rsidRDefault="007F79BB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7F79BB" w:rsidRPr="002636BE" w:rsidRDefault="007F79BB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7F79BB" w:rsidRPr="002636BE" w:rsidRDefault="007F79BB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</w:tr>
      <w:tr w:rsidR="007F79BB" w:rsidRPr="00AD7A98" w:rsidTr="00673828">
        <w:trPr>
          <w:trHeight w:val="288"/>
        </w:trPr>
        <w:tc>
          <w:tcPr>
            <w:tcW w:w="3888" w:type="dxa"/>
            <w:shd w:val="clear" w:color="auto" w:fill="auto"/>
            <w:vAlign w:val="bottom"/>
          </w:tcPr>
          <w:p w:rsidR="007F79BB" w:rsidRPr="007F79BB" w:rsidRDefault="007F79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79BB">
              <w:rPr>
                <w:rFonts w:ascii="Arial" w:hAnsi="Arial" w:cs="Arial"/>
                <w:color w:val="000000"/>
                <w:sz w:val="22"/>
                <w:szCs w:val="22"/>
              </w:rPr>
              <w:t>Business Administration: Entrepreneurship/Small Business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AS</w:t>
            </w:r>
          </w:p>
        </w:tc>
        <w:tc>
          <w:tcPr>
            <w:tcW w:w="720" w:type="dxa"/>
            <w:shd w:val="clear" w:color="auto" w:fill="auto"/>
          </w:tcPr>
          <w:p w:rsidR="007F79BB" w:rsidRPr="002636BE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7F79BB" w:rsidRPr="002636BE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7F79BB" w:rsidRPr="002636BE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7F79BB" w:rsidRPr="002636BE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7F79BB" w:rsidRPr="002636BE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7F79BB" w:rsidRPr="002636BE" w:rsidRDefault="007F79BB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7F79BB" w:rsidRPr="002636BE" w:rsidRDefault="007F79BB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7F79BB" w:rsidRPr="002636BE" w:rsidRDefault="007F79BB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</w:tr>
      <w:tr w:rsidR="007F79BB" w:rsidRPr="00AD7A98" w:rsidTr="00673828">
        <w:trPr>
          <w:trHeight w:val="288"/>
        </w:trPr>
        <w:tc>
          <w:tcPr>
            <w:tcW w:w="3888" w:type="dxa"/>
            <w:shd w:val="clear" w:color="auto" w:fill="auto"/>
            <w:vAlign w:val="bottom"/>
          </w:tcPr>
          <w:p w:rsidR="007F79BB" w:rsidRPr="007F79BB" w:rsidRDefault="007F79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79B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Business Administration: Entrepreneurship/Small Business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Certificate</w:t>
            </w: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7F79BB" w:rsidRDefault="007F79BB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F79BB" w:rsidRPr="00AD7A98" w:rsidTr="00673828">
        <w:trPr>
          <w:trHeight w:val="288"/>
        </w:trPr>
        <w:tc>
          <w:tcPr>
            <w:tcW w:w="3888" w:type="dxa"/>
            <w:shd w:val="clear" w:color="auto" w:fill="auto"/>
            <w:vAlign w:val="bottom"/>
          </w:tcPr>
          <w:p w:rsidR="007F79BB" w:rsidRPr="007F79BB" w:rsidRDefault="007F79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79BB">
              <w:rPr>
                <w:rFonts w:ascii="Arial" w:hAnsi="Arial" w:cs="Arial"/>
                <w:color w:val="000000"/>
                <w:sz w:val="22"/>
                <w:szCs w:val="22"/>
              </w:rPr>
              <w:t>Business Administration: Financial Planning and Investment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AS</w:t>
            </w: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7F79BB" w:rsidRDefault="007F79BB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F79BB" w:rsidRPr="00AD7A98" w:rsidTr="00673828">
        <w:trPr>
          <w:trHeight w:val="288"/>
        </w:trPr>
        <w:tc>
          <w:tcPr>
            <w:tcW w:w="3888" w:type="dxa"/>
            <w:shd w:val="clear" w:color="auto" w:fill="auto"/>
            <w:vAlign w:val="bottom"/>
          </w:tcPr>
          <w:p w:rsidR="007F79BB" w:rsidRPr="007F79BB" w:rsidRDefault="007F79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79BB">
              <w:rPr>
                <w:rFonts w:ascii="Arial" w:hAnsi="Arial" w:cs="Arial"/>
                <w:color w:val="000000"/>
                <w:sz w:val="22"/>
                <w:szCs w:val="22"/>
              </w:rPr>
              <w:t>Business Administration: Financial Planning and Investment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Certificate</w:t>
            </w: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7F79BB" w:rsidRDefault="007F79BB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F79BB" w:rsidRPr="00AD7A98" w:rsidTr="00673828">
        <w:trPr>
          <w:trHeight w:val="288"/>
        </w:trPr>
        <w:tc>
          <w:tcPr>
            <w:tcW w:w="3888" w:type="dxa"/>
            <w:shd w:val="clear" w:color="auto" w:fill="auto"/>
            <w:vAlign w:val="bottom"/>
          </w:tcPr>
          <w:p w:rsidR="007F79BB" w:rsidRPr="007F79BB" w:rsidRDefault="007F79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79BB">
              <w:rPr>
                <w:rFonts w:ascii="Arial" w:hAnsi="Arial" w:cs="Arial"/>
                <w:color w:val="000000"/>
                <w:sz w:val="22"/>
                <w:szCs w:val="22"/>
              </w:rPr>
              <w:t>Business Administration: General Business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AS</w:t>
            </w: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7F79BB" w:rsidRDefault="007F79BB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F79BB" w:rsidRPr="00AD7A98" w:rsidTr="00673828">
        <w:trPr>
          <w:trHeight w:val="288"/>
        </w:trPr>
        <w:tc>
          <w:tcPr>
            <w:tcW w:w="3888" w:type="dxa"/>
            <w:shd w:val="clear" w:color="auto" w:fill="auto"/>
            <w:vAlign w:val="bottom"/>
          </w:tcPr>
          <w:p w:rsidR="007F79BB" w:rsidRPr="007F79BB" w:rsidRDefault="007F79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79BB">
              <w:rPr>
                <w:rFonts w:ascii="Arial" w:hAnsi="Arial" w:cs="Arial"/>
                <w:color w:val="000000"/>
                <w:sz w:val="22"/>
                <w:szCs w:val="22"/>
              </w:rPr>
              <w:t>Business Administration: General Business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Certificate</w:t>
            </w: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7F79BB" w:rsidRDefault="007F79BB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F79BB" w:rsidRPr="00AD7A98" w:rsidTr="00673828">
        <w:trPr>
          <w:trHeight w:val="288"/>
        </w:trPr>
        <w:tc>
          <w:tcPr>
            <w:tcW w:w="3888" w:type="dxa"/>
            <w:shd w:val="clear" w:color="auto" w:fill="auto"/>
            <w:vAlign w:val="bottom"/>
          </w:tcPr>
          <w:p w:rsidR="007F79BB" w:rsidRPr="007F79BB" w:rsidRDefault="007F79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79BB">
              <w:rPr>
                <w:rFonts w:ascii="Arial" w:hAnsi="Arial" w:cs="Arial"/>
                <w:color w:val="000000"/>
                <w:sz w:val="22"/>
                <w:szCs w:val="22"/>
              </w:rPr>
              <w:t>Business Administration: International Business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AS</w:t>
            </w: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7F79BB" w:rsidRDefault="007F79BB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F79BB" w:rsidRPr="00AD7A98" w:rsidTr="00673828">
        <w:trPr>
          <w:trHeight w:val="288"/>
        </w:trPr>
        <w:tc>
          <w:tcPr>
            <w:tcW w:w="3888" w:type="dxa"/>
            <w:shd w:val="clear" w:color="auto" w:fill="auto"/>
            <w:vAlign w:val="bottom"/>
          </w:tcPr>
          <w:p w:rsidR="007F79BB" w:rsidRPr="007F79BB" w:rsidRDefault="007F79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79BB">
              <w:rPr>
                <w:rFonts w:ascii="Arial" w:hAnsi="Arial" w:cs="Arial"/>
                <w:color w:val="000000"/>
                <w:sz w:val="22"/>
                <w:szCs w:val="22"/>
              </w:rPr>
              <w:t>Business Administration: International Business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Certificate</w:t>
            </w: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7F79BB" w:rsidRDefault="007F79BB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F79BB" w:rsidRPr="00AD7A98" w:rsidTr="00673828">
        <w:trPr>
          <w:trHeight w:val="288"/>
        </w:trPr>
        <w:tc>
          <w:tcPr>
            <w:tcW w:w="3888" w:type="dxa"/>
            <w:shd w:val="clear" w:color="auto" w:fill="auto"/>
            <w:vAlign w:val="bottom"/>
          </w:tcPr>
          <w:p w:rsidR="007F79BB" w:rsidRPr="007F79BB" w:rsidRDefault="007F79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F79BB" w:rsidRDefault="007F79BB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7F79BB" w:rsidRDefault="007F79BB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7F79BB" w:rsidRDefault="007F79BB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 xml:space="preserve">Click here to enter </w:t>
                </w:r>
                <w:r w:rsidRPr="00AA50E2">
                  <w:rPr>
                    <w:rStyle w:val="PlaceholderText"/>
                  </w:rPr>
                  <w:lastRenderedPageBreak/>
                  <w:t>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lastRenderedPageBreak/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36388B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</w:t>
                  </w:r>
                  <w:proofErr w:type="gramStart"/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:</w:t>
                  </w:r>
                  <w:r w:rsidR="004859A6">
                    <w:rPr>
                      <w:rFonts w:ascii="Arial" w:hAnsi="Arial" w:cs="Arial"/>
                      <w:b/>
                      <w:sz w:val="32"/>
                      <w:szCs w:val="32"/>
                    </w:rPr>
                    <w:t>BUSAD</w:t>
                  </w:r>
                  <w:proofErr w:type="gramEnd"/>
                  <w:r w:rsidR="002D7DE3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36388B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88B" w:rsidRDefault="0036388B">
      <w:r>
        <w:separator/>
      </w:r>
    </w:p>
  </w:endnote>
  <w:endnote w:type="continuationSeparator" w:id="0">
    <w:p w:rsidR="0036388B" w:rsidRDefault="0036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1C24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88B" w:rsidRDefault="0036388B">
      <w:r>
        <w:separator/>
      </w:r>
    </w:p>
  </w:footnote>
  <w:footnote w:type="continuationSeparator" w:id="0">
    <w:p w:rsidR="0036388B" w:rsidRDefault="00363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2C17"/>
    <w:rsid w:val="002C36E6"/>
    <w:rsid w:val="002D0F8E"/>
    <w:rsid w:val="002D7DE3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6388B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B4326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62510"/>
    <w:rsid w:val="00462D38"/>
    <w:rsid w:val="004634D1"/>
    <w:rsid w:val="00465218"/>
    <w:rsid w:val="00472C29"/>
    <w:rsid w:val="004859A6"/>
    <w:rsid w:val="00485C1B"/>
    <w:rsid w:val="004909AD"/>
    <w:rsid w:val="00490DE4"/>
    <w:rsid w:val="00491E16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084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7F79BB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46E7"/>
    <w:rsid w:val="00A6000F"/>
    <w:rsid w:val="00A65AC7"/>
    <w:rsid w:val="00A82AC5"/>
    <w:rsid w:val="00AA4C04"/>
    <w:rsid w:val="00AA687E"/>
    <w:rsid w:val="00AA6D70"/>
    <w:rsid w:val="00AA6DC3"/>
    <w:rsid w:val="00AB1073"/>
    <w:rsid w:val="00AC0D58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1B06"/>
    <w:rsid w:val="00E14EDC"/>
    <w:rsid w:val="00E17F1B"/>
    <w:rsid w:val="00E200D1"/>
    <w:rsid w:val="00E206C7"/>
    <w:rsid w:val="00E21C24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1B031F"/>
    <w:rsid w:val="001D5CE0"/>
    <w:rsid w:val="00363C3C"/>
    <w:rsid w:val="005174F4"/>
    <w:rsid w:val="005427E0"/>
    <w:rsid w:val="005A1665"/>
    <w:rsid w:val="0060174A"/>
    <w:rsid w:val="00644DB3"/>
    <w:rsid w:val="00854C56"/>
    <w:rsid w:val="009B4C7F"/>
    <w:rsid w:val="00A67F46"/>
    <w:rsid w:val="00B01C4D"/>
    <w:rsid w:val="00C649EF"/>
    <w:rsid w:val="00D306DA"/>
    <w:rsid w:val="00EC289B"/>
    <w:rsid w:val="00ED458D"/>
    <w:rsid w:val="00F02D62"/>
    <w:rsid w:val="00FC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C3F25-7A51-4260-935F-D7E84E83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9</cp:revision>
  <cp:lastPrinted>2012-09-14T16:51:00Z</cp:lastPrinted>
  <dcterms:created xsi:type="dcterms:W3CDTF">2012-09-22T20:58:00Z</dcterms:created>
  <dcterms:modified xsi:type="dcterms:W3CDTF">2012-09-25T15:54:00Z</dcterms:modified>
</cp:coreProperties>
</file>