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6E2">
        <w:rPr>
          <w:rFonts w:ascii="Arial" w:hAnsi="Arial"/>
        </w:rPr>
        <w:t xml:space="preserve"> </w:t>
      </w:r>
    </w:p>
    <w:p w:rsidR="001A5169" w:rsidRPr="008B1178" w:rsidRDefault="00762D22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1B1549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ACCOUNTING</w:t>
          </w:r>
        </w:p>
        <w:bookmarkStart w:id="0" w:name="_GoBack" w:displacedByCustomXml="next"/>
        <w:bookmarkEnd w:id="0" w:displacedByCustomXml="next"/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1080"/>
        <w:gridCol w:w="1080"/>
      </w:tblGrid>
      <w:tr w:rsidR="00F44D84" w:rsidRPr="002F289A" w:rsidTr="00491E16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980DCC" w:rsidRPr="002F289A" w:rsidTr="006F3CB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Accounting</w:t>
            </w: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657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980DCC" w:rsidRPr="002F289A" w:rsidTr="006F3CB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980DCC" w:rsidRPr="002F289A" w:rsidTr="006F3CB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80DCC" w:rsidRPr="002F289A" w:rsidTr="006F3CB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</w:tr>
      <w:tr w:rsidR="00980DCC" w:rsidRPr="002F289A" w:rsidTr="006F3CB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+8.2%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-10.1%</w:t>
            </w:r>
          </w:p>
        </w:tc>
        <w:tc>
          <w:tcPr>
            <w:tcW w:w="117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-14.4%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+14.9%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-3.5%</w:t>
            </w:r>
          </w:p>
        </w:tc>
        <w:tc>
          <w:tcPr>
            <w:tcW w:w="1080" w:type="dxa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+41.9%</w:t>
            </w:r>
          </w:p>
        </w:tc>
      </w:tr>
      <w:tr w:rsidR="00980DCC" w:rsidRPr="002F289A" w:rsidTr="00863C86">
        <w:trPr>
          <w:trHeight w:val="288"/>
        </w:trPr>
        <w:tc>
          <w:tcPr>
            <w:tcW w:w="153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with SLOs Defined</w:t>
            </w: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980DC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80DCC" w:rsidRPr="002D0F8E" w:rsidRDefault="00980DCC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</w:tr>
      <w:tr w:rsidR="00980DC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80DCC" w:rsidRPr="002D0F8E" w:rsidRDefault="00980DCC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11.8%</w:t>
            </w:r>
          </w:p>
        </w:tc>
      </w:tr>
      <w:tr w:rsidR="00980DC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80DCC" w:rsidRPr="002D0F8E" w:rsidRDefault="00980DCC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+0.7%</w:t>
            </w:r>
          </w:p>
        </w:tc>
      </w:tr>
      <w:tr w:rsidR="00980DC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80DCC" w:rsidRPr="002D0F8E" w:rsidRDefault="00980DCC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80DCC" w:rsidRDefault="00980D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0DCC" w:rsidRDefault="00980D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980DCC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980DC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980DCC" w:rsidRDefault="00980DCC" w:rsidP="00423DF2">
            <w:pPr>
              <w:rPr>
                <w:rFonts w:ascii="Arial" w:hAnsi="Arial"/>
                <w:sz w:val="22"/>
                <w:szCs w:val="22"/>
              </w:rPr>
            </w:pPr>
            <w:r w:rsidRPr="00980DCC">
              <w:rPr>
                <w:rFonts w:ascii="Arial" w:hAnsi="Arial"/>
                <w:sz w:val="22"/>
                <w:szCs w:val="22"/>
              </w:rPr>
              <w:t>Accounting</w:t>
            </w: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732D2" w:rsidRPr="00B742F6" w:rsidTr="00256E48">
        <w:trPr>
          <w:trHeight w:val="288"/>
        </w:trPr>
        <w:tc>
          <w:tcPr>
            <w:tcW w:w="3888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980DCC" w:rsidRDefault="00980DCC" w:rsidP="008533BA">
      <w:pPr>
        <w:tabs>
          <w:tab w:val="left" w:pos="540"/>
        </w:tabs>
        <w:rPr>
          <w:rFonts w:ascii="Arial" w:hAnsi="Arial"/>
          <w:b/>
          <w:sz w:val="20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72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256E48">
        <w:tc>
          <w:tcPr>
            <w:tcW w:w="388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732D2">
        <w:trPr>
          <w:trHeight w:val="288"/>
        </w:trPr>
        <w:tc>
          <w:tcPr>
            <w:tcW w:w="388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980DCC" w:rsidRPr="00AD7A98" w:rsidTr="00C64DD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980DCC" w:rsidRPr="00980DCC" w:rsidRDefault="00980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DCC">
              <w:rPr>
                <w:rFonts w:ascii="Arial" w:hAnsi="Arial" w:cs="Arial"/>
                <w:color w:val="000000"/>
                <w:sz w:val="22"/>
                <w:szCs w:val="22"/>
              </w:rPr>
              <w:t>Accounting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</w:t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980DCC" w:rsidRPr="00AD7A98" w:rsidTr="00C64DD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980DCC" w:rsidRPr="00980DCC" w:rsidRDefault="00980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DCC">
              <w:rPr>
                <w:rFonts w:ascii="Arial" w:hAnsi="Arial" w:cs="Arial"/>
                <w:color w:val="000000"/>
                <w:sz w:val="22"/>
                <w:szCs w:val="22"/>
              </w:rPr>
              <w:t>Accounting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Certificate</w:t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980DCC" w:rsidRPr="002636BE" w:rsidRDefault="00980DC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CC3185" w:rsidRPr="00AD7A98" w:rsidTr="00C64DD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CC3185" w:rsidRPr="00CC3185" w:rsidRDefault="00CC3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318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Bookkeeping</w:t>
            </w: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CC3185" w:rsidRDefault="00CC3185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C3185" w:rsidRPr="00AD7A98" w:rsidTr="00C64DD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CC3185" w:rsidRPr="00CC3185" w:rsidRDefault="00CC3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3185">
              <w:rPr>
                <w:rFonts w:ascii="Arial" w:hAnsi="Arial" w:cs="Arial"/>
                <w:color w:val="000000"/>
                <w:sz w:val="22"/>
                <w:szCs w:val="22"/>
              </w:rPr>
              <w:t>Bookkeeping</w:t>
            </w: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C3185" w:rsidRDefault="00CC318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C3185" w:rsidRDefault="00CC3185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CC3185" w:rsidRDefault="00CC3185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762D22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C57048">
                    <w:rPr>
                      <w:rFonts w:ascii="Arial" w:hAnsi="Arial" w:cs="Arial"/>
                      <w:b/>
                      <w:sz w:val="32"/>
                      <w:szCs w:val="32"/>
                    </w:rPr>
                    <w:t>ACCT</w:t>
                  </w:r>
                  <w:r w:rsidR="003D7E56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762D22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22" w:rsidRDefault="00762D22">
      <w:r>
        <w:separator/>
      </w:r>
    </w:p>
  </w:endnote>
  <w:endnote w:type="continuationSeparator" w:id="0">
    <w:p w:rsidR="00762D22" w:rsidRDefault="0076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54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22" w:rsidRDefault="00762D22">
      <w:r>
        <w:separator/>
      </w:r>
    </w:p>
  </w:footnote>
  <w:footnote w:type="continuationSeparator" w:id="0">
    <w:p w:rsidR="00762D22" w:rsidRDefault="0076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15ED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A54A1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1549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D7E56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32D3E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2AB1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2D22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0DCC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46E7"/>
    <w:rsid w:val="00A6000F"/>
    <w:rsid w:val="00A65AC7"/>
    <w:rsid w:val="00A82AC5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12FB9"/>
    <w:rsid w:val="00C205D7"/>
    <w:rsid w:val="00C22455"/>
    <w:rsid w:val="00C32F52"/>
    <w:rsid w:val="00C36E77"/>
    <w:rsid w:val="00C56063"/>
    <w:rsid w:val="00C57048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3185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1F4B0D"/>
    <w:rsid w:val="005174F4"/>
    <w:rsid w:val="005A1665"/>
    <w:rsid w:val="0060174A"/>
    <w:rsid w:val="00644DB3"/>
    <w:rsid w:val="00854C56"/>
    <w:rsid w:val="009862C0"/>
    <w:rsid w:val="009B4C7F"/>
    <w:rsid w:val="009E2B60"/>
    <w:rsid w:val="00A67F46"/>
    <w:rsid w:val="00B01C4D"/>
    <w:rsid w:val="00D306DA"/>
    <w:rsid w:val="00DB4626"/>
    <w:rsid w:val="00E142D3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144A-1F07-4E21-BEDA-6BE58917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9</cp:revision>
  <cp:lastPrinted>2012-09-14T16:51:00Z</cp:lastPrinted>
  <dcterms:created xsi:type="dcterms:W3CDTF">2012-09-22T20:53:00Z</dcterms:created>
  <dcterms:modified xsi:type="dcterms:W3CDTF">2012-09-25T15:54:00Z</dcterms:modified>
</cp:coreProperties>
</file>