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6E2">
        <w:rPr>
          <w:rFonts w:ascii="Arial" w:hAnsi="Arial"/>
        </w:rPr>
        <w:t xml:space="preserve"> </w:t>
      </w:r>
    </w:p>
    <w:p w:rsidR="001A5169" w:rsidRPr="008B1178" w:rsidRDefault="00443097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bookmarkStart w:id="0" w:name="_GoBack" w:displacedByCustomXml="prev"/>
        <w:bookmarkEnd w:id="0" w:displacedByCustomXml="prev"/>
        <w:p w:rsidR="006E2280" w:rsidRPr="002636BE" w:rsidRDefault="00EF227A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CABOT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EF227A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F227A" w:rsidRPr="00EF227A" w:rsidRDefault="00EF227A">
            <w:pPr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CABOT/BUSOT</w:t>
            </w:r>
          </w:p>
        </w:tc>
        <w:tc>
          <w:tcPr>
            <w:tcW w:w="1350" w:type="dxa"/>
            <w:vAlign w:val="bottom"/>
          </w:tcPr>
          <w:p w:rsidR="00EF227A" w:rsidRPr="00EF227A" w:rsidRDefault="00EF227A">
            <w:pPr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08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7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117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49.4%</w:t>
            </w:r>
          </w:p>
        </w:tc>
        <w:tc>
          <w:tcPr>
            <w:tcW w:w="108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75.0%</w:t>
            </w:r>
          </w:p>
        </w:tc>
        <w:tc>
          <w:tcPr>
            <w:tcW w:w="99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71.8%</w:t>
            </w:r>
          </w:p>
        </w:tc>
        <w:tc>
          <w:tcPr>
            <w:tcW w:w="117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  <w:tr w:rsidR="00EF227A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F227A" w:rsidRPr="00EF227A" w:rsidRDefault="00EF2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F227A" w:rsidRPr="00EF227A" w:rsidRDefault="00EF227A">
            <w:pPr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108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7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117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40.1%</w:t>
            </w:r>
          </w:p>
        </w:tc>
        <w:tc>
          <w:tcPr>
            <w:tcW w:w="108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78.2%</w:t>
            </w:r>
          </w:p>
        </w:tc>
        <w:tc>
          <w:tcPr>
            <w:tcW w:w="99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74.5%</w:t>
            </w:r>
          </w:p>
        </w:tc>
        <w:tc>
          <w:tcPr>
            <w:tcW w:w="117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89</w:t>
            </w:r>
          </w:p>
        </w:tc>
      </w:tr>
      <w:tr w:rsidR="00EF227A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F227A" w:rsidRPr="00EF227A" w:rsidRDefault="00EF2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F227A" w:rsidRPr="00EF227A" w:rsidRDefault="00EF227A">
            <w:pPr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108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7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17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37.2%</w:t>
            </w:r>
          </w:p>
        </w:tc>
        <w:tc>
          <w:tcPr>
            <w:tcW w:w="108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85.0%</w:t>
            </w:r>
          </w:p>
        </w:tc>
        <w:tc>
          <w:tcPr>
            <w:tcW w:w="99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76.2%</w:t>
            </w:r>
          </w:p>
        </w:tc>
        <w:tc>
          <w:tcPr>
            <w:tcW w:w="117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EF227A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F227A" w:rsidRPr="00EF227A" w:rsidRDefault="00EF2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F227A" w:rsidRPr="00EF227A" w:rsidRDefault="00EF227A">
            <w:pPr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108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7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117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38.7%</w:t>
            </w:r>
          </w:p>
        </w:tc>
        <w:tc>
          <w:tcPr>
            <w:tcW w:w="108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80.5%</w:t>
            </w:r>
          </w:p>
        </w:tc>
        <w:tc>
          <w:tcPr>
            <w:tcW w:w="99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74.9%</w:t>
            </w:r>
          </w:p>
        </w:tc>
        <w:tc>
          <w:tcPr>
            <w:tcW w:w="117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EF227A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F227A" w:rsidRPr="00EF227A" w:rsidRDefault="00EF2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F227A" w:rsidRPr="00EF227A" w:rsidRDefault="00EF227A">
            <w:pPr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+3.6%</w:t>
            </w:r>
          </w:p>
        </w:tc>
        <w:tc>
          <w:tcPr>
            <w:tcW w:w="108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-4.3%</w:t>
            </w:r>
          </w:p>
        </w:tc>
        <w:tc>
          <w:tcPr>
            <w:tcW w:w="117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+8.2%</w:t>
            </w:r>
          </w:p>
        </w:tc>
        <w:tc>
          <w:tcPr>
            <w:tcW w:w="117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-10.6%</w:t>
            </w:r>
          </w:p>
        </w:tc>
        <w:tc>
          <w:tcPr>
            <w:tcW w:w="108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+5.5%</w:t>
            </w:r>
          </w:p>
        </w:tc>
        <w:tc>
          <w:tcPr>
            <w:tcW w:w="99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+3.1%</w:t>
            </w:r>
          </w:p>
        </w:tc>
        <w:tc>
          <w:tcPr>
            <w:tcW w:w="1170" w:type="dxa"/>
            <w:vAlign w:val="bottom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-55.2%</w:t>
            </w:r>
          </w:p>
        </w:tc>
      </w:tr>
      <w:tr w:rsidR="00EF227A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F227A" w:rsidRPr="00EF227A" w:rsidRDefault="00EF2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F227A" w:rsidRPr="00EF227A" w:rsidRDefault="00EF227A">
            <w:pPr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EF227A" w:rsidRP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227A"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2D0F8E">
        <w:tc>
          <w:tcPr>
            <w:tcW w:w="1638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with SLOs Defined</w:t>
            </w:r>
          </w:p>
        </w:tc>
        <w:tc>
          <w:tcPr>
            <w:tcW w:w="2520" w:type="dxa"/>
            <w:shd w:val="clear" w:color="auto" w:fill="auto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EF227A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F227A" w:rsidRPr="002D0F8E" w:rsidRDefault="00EF227A">
            <w:pPr>
              <w:rPr>
                <w:rFonts w:ascii="Arial" w:hAnsi="Arial" w:cs="Arial"/>
                <w:sz w:val="18"/>
                <w:szCs w:val="18"/>
              </w:rPr>
            </w:pPr>
            <w:r w:rsidRPr="002D0F8E"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41.2%</w:t>
            </w:r>
          </w:p>
        </w:tc>
      </w:tr>
      <w:tr w:rsidR="00EF227A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F227A" w:rsidRPr="002D0F8E" w:rsidRDefault="00EF227A">
            <w:pPr>
              <w:rPr>
                <w:rFonts w:ascii="Arial" w:hAnsi="Arial" w:cs="Arial"/>
                <w:sz w:val="18"/>
                <w:szCs w:val="18"/>
              </w:rPr>
            </w:pPr>
            <w:r w:rsidRPr="002D0F8E"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53.1%</w:t>
            </w:r>
          </w:p>
        </w:tc>
      </w:tr>
      <w:tr w:rsidR="00EF227A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F227A" w:rsidRPr="002D0F8E" w:rsidRDefault="00EF227A">
            <w:pPr>
              <w:rPr>
                <w:rFonts w:ascii="Arial" w:hAnsi="Arial" w:cs="Arial"/>
                <w:sz w:val="18"/>
                <w:szCs w:val="18"/>
              </w:rPr>
            </w:pPr>
            <w:r w:rsidRPr="002D0F8E"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F227A" w:rsidRDefault="00EF2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+11.9%</w:t>
            </w:r>
          </w:p>
        </w:tc>
      </w:tr>
      <w:tr w:rsidR="00EF227A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F227A" w:rsidRPr="002D0F8E" w:rsidRDefault="00EF227A">
            <w:pPr>
              <w:rPr>
                <w:rFonts w:ascii="Arial" w:hAnsi="Arial" w:cs="Arial"/>
                <w:sz w:val="18"/>
                <w:szCs w:val="18"/>
              </w:rPr>
            </w:pPr>
            <w:r w:rsidRPr="002D0F8E"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F227A" w:rsidRDefault="00EF22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F227A" w:rsidRDefault="00EF2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6C6343" w:rsidRDefault="00EF227A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CABOT</w:t>
            </w: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6C6343" w:rsidRPr="006C6343" w:rsidRDefault="006C6343" w:rsidP="00423DF2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EF227A" w:rsidRDefault="00EF22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27A">
              <w:rPr>
                <w:rFonts w:ascii="Arial" w:hAnsi="Arial" w:cs="Arial"/>
                <w:color w:val="000000"/>
                <w:sz w:val="20"/>
                <w:szCs w:val="20"/>
              </w:rPr>
              <w:t>CABOT: Administrative Assistant AS</w:t>
            </w:r>
          </w:p>
        </w:tc>
        <w:tc>
          <w:tcPr>
            <w:tcW w:w="630" w:type="dxa"/>
            <w:shd w:val="clear" w:color="auto" w:fill="auto"/>
          </w:tcPr>
          <w:p w:rsidR="00EF227A" w:rsidRPr="002636BE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2636BE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2636BE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2636BE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2636BE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2636BE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2636BE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2636BE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EF227A" w:rsidRDefault="00EF227A" w:rsidP="00EF22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27A">
              <w:rPr>
                <w:rFonts w:ascii="Arial" w:hAnsi="Arial" w:cs="Arial"/>
                <w:color w:val="000000"/>
                <w:sz w:val="20"/>
                <w:szCs w:val="20"/>
              </w:rPr>
              <w:t>CABOT: Administrative Assistant Cert</w:t>
            </w:r>
          </w:p>
        </w:tc>
        <w:tc>
          <w:tcPr>
            <w:tcW w:w="630" w:type="dxa"/>
            <w:shd w:val="clear" w:color="auto" w:fill="auto"/>
          </w:tcPr>
          <w:p w:rsidR="00EF227A" w:rsidRPr="002636BE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2636BE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2636BE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2636BE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2636BE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2636BE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2636BE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2636BE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EF227A" w:rsidRDefault="00EF22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27A">
              <w:rPr>
                <w:rFonts w:ascii="Arial" w:hAnsi="Arial" w:cs="Arial"/>
                <w:color w:val="000000"/>
                <w:sz w:val="20"/>
                <w:szCs w:val="20"/>
              </w:rPr>
              <w:t>CABOT: General Office   AS</w:t>
            </w:r>
          </w:p>
        </w:tc>
        <w:tc>
          <w:tcPr>
            <w:tcW w:w="630" w:type="dxa"/>
            <w:shd w:val="clear" w:color="auto" w:fill="auto"/>
          </w:tcPr>
          <w:p w:rsidR="00EF227A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EF227A" w:rsidRDefault="00EF22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27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CABOT: General Office   Certificate</w:t>
            </w:r>
          </w:p>
        </w:tc>
        <w:tc>
          <w:tcPr>
            <w:tcW w:w="630" w:type="dxa"/>
            <w:shd w:val="clear" w:color="auto" w:fill="auto"/>
          </w:tcPr>
          <w:p w:rsidR="00EF227A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EF227A" w:rsidRDefault="00EF22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27A">
              <w:rPr>
                <w:rFonts w:ascii="Arial" w:hAnsi="Arial" w:cs="Arial"/>
                <w:color w:val="000000"/>
                <w:sz w:val="20"/>
                <w:szCs w:val="20"/>
              </w:rPr>
              <w:t>CABOT: Legal Secretary  AS</w:t>
            </w:r>
          </w:p>
        </w:tc>
        <w:tc>
          <w:tcPr>
            <w:tcW w:w="630" w:type="dxa"/>
            <w:shd w:val="clear" w:color="auto" w:fill="auto"/>
          </w:tcPr>
          <w:p w:rsidR="00EF227A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EF227A" w:rsidRDefault="00EF22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227A">
              <w:rPr>
                <w:rFonts w:ascii="Arial" w:hAnsi="Arial" w:cs="Arial"/>
                <w:color w:val="000000"/>
                <w:sz w:val="20"/>
                <w:szCs w:val="20"/>
              </w:rPr>
              <w:t>CABOT: Legal Secretary  Certificate</w:t>
            </w:r>
          </w:p>
        </w:tc>
        <w:tc>
          <w:tcPr>
            <w:tcW w:w="630" w:type="dxa"/>
            <w:shd w:val="clear" w:color="auto" w:fill="auto"/>
          </w:tcPr>
          <w:p w:rsidR="00EF227A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443097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</w:t>
                  </w:r>
                  <w:proofErr w:type="gramStart"/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:</w:t>
                  </w:r>
                  <w:r w:rsidR="00EF227A">
                    <w:rPr>
                      <w:rFonts w:ascii="Arial" w:hAnsi="Arial" w:cs="Arial"/>
                      <w:b/>
                      <w:sz w:val="32"/>
                      <w:szCs w:val="32"/>
                    </w:rPr>
                    <w:t>CABOT</w:t>
                  </w:r>
                  <w:proofErr w:type="gramEnd"/>
                  <w:r w:rsidR="00AA0C84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443097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097" w:rsidRDefault="00443097">
      <w:r>
        <w:separator/>
      </w:r>
    </w:p>
  </w:endnote>
  <w:endnote w:type="continuationSeparator" w:id="0">
    <w:p w:rsidR="00443097" w:rsidRDefault="0044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3D81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097" w:rsidRDefault="00443097">
      <w:r>
        <w:separator/>
      </w:r>
    </w:p>
  </w:footnote>
  <w:footnote w:type="continuationSeparator" w:id="0">
    <w:p w:rsidR="00443097" w:rsidRDefault="00443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3D81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12EE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43097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C5930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15F42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696"/>
    <w:rsid w:val="00A17A44"/>
    <w:rsid w:val="00A23555"/>
    <w:rsid w:val="00A43D41"/>
    <w:rsid w:val="00A46795"/>
    <w:rsid w:val="00A524FA"/>
    <w:rsid w:val="00A546E7"/>
    <w:rsid w:val="00A6000F"/>
    <w:rsid w:val="00A65AC7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235AD"/>
    <w:rsid w:val="001B031F"/>
    <w:rsid w:val="001D5CE0"/>
    <w:rsid w:val="00440E77"/>
    <w:rsid w:val="005174F4"/>
    <w:rsid w:val="005A1665"/>
    <w:rsid w:val="0060174A"/>
    <w:rsid w:val="00644DB3"/>
    <w:rsid w:val="00854C56"/>
    <w:rsid w:val="008E6209"/>
    <w:rsid w:val="009B4C7F"/>
    <w:rsid w:val="00A67F46"/>
    <w:rsid w:val="00B01C4D"/>
    <w:rsid w:val="00B70358"/>
    <w:rsid w:val="00D306DA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D4C1D-3D3E-4F50-B2EF-7A0B0803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6</cp:revision>
  <cp:lastPrinted>2012-09-14T16:51:00Z</cp:lastPrinted>
  <dcterms:created xsi:type="dcterms:W3CDTF">2012-09-22T21:40:00Z</dcterms:created>
  <dcterms:modified xsi:type="dcterms:W3CDTF">2012-09-25T15:54:00Z</dcterms:modified>
</cp:coreProperties>
</file>