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B3313E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335506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CREDIT ESL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260"/>
        <w:gridCol w:w="1260"/>
        <w:gridCol w:w="1080"/>
        <w:gridCol w:w="1260"/>
        <w:gridCol w:w="1170"/>
        <w:gridCol w:w="1080"/>
        <w:gridCol w:w="990"/>
        <w:gridCol w:w="1080"/>
      </w:tblGrid>
      <w:tr w:rsidR="00F44D84" w:rsidRPr="002F289A" w:rsidTr="00D16B46">
        <w:tc>
          <w:tcPr>
            <w:tcW w:w="144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26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26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26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335506" w:rsidRPr="002F289A" w:rsidTr="00C91441">
        <w:trPr>
          <w:trHeight w:val="288"/>
        </w:trPr>
        <w:tc>
          <w:tcPr>
            <w:tcW w:w="1440" w:type="dxa"/>
            <w:vAlign w:val="bottom"/>
          </w:tcPr>
          <w:p w:rsidR="00335506" w:rsidRPr="00C91441" w:rsidRDefault="00335506">
            <w:pPr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Credit ESL</w:t>
            </w: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2008-2009</w:t>
            </w: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1,323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17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40.2%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100.9%</w:t>
            </w:r>
          </w:p>
        </w:tc>
        <w:tc>
          <w:tcPr>
            <w:tcW w:w="99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77.6%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35506" w:rsidRPr="002F289A" w:rsidTr="00C91441">
        <w:trPr>
          <w:trHeight w:val="288"/>
        </w:trPr>
        <w:tc>
          <w:tcPr>
            <w:tcW w:w="1440" w:type="dxa"/>
            <w:vAlign w:val="bottom"/>
          </w:tcPr>
          <w:p w:rsidR="00335506" w:rsidRPr="00C91441" w:rsidRDefault="0033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2009-2010</w:t>
            </w: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1,249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599</w:t>
            </w:r>
          </w:p>
        </w:tc>
        <w:tc>
          <w:tcPr>
            <w:tcW w:w="117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39.6%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103.4%</w:t>
            </w:r>
          </w:p>
        </w:tc>
        <w:tc>
          <w:tcPr>
            <w:tcW w:w="99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78.9%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35506" w:rsidRPr="002F289A" w:rsidTr="00D16B46">
        <w:trPr>
          <w:trHeight w:val="288"/>
        </w:trPr>
        <w:tc>
          <w:tcPr>
            <w:tcW w:w="1440" w:type="dxa"/>
            <w:vAlign w:val="bottom"/>
          </w:tcPr>
          <w:p w:rsidR="00335506" w:rsidRPr="00C91441" w:rsidRDefault="0033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1,145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117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39.4%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107.1%</w:t>
            </w:r>
          </w:p>
        </w:tc>
        <w:tc>
          <w:tcPr>
            <w:tcW w:w="99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77.2%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35506" w:rsidRPr="002F289A" w:rsidTr="00C91441">
        <w:trPr>
          <w:trHeight w:val="288"/>
        </w:trPr>
        <w:tc>
          <w:tcPr>
            <w:tcW w:w="1440" w:type="dxa"/>
            <w:vAlign w:val="bottom"/>
          </w:tcPr>
          <w:p w:rsidR="00335506" w:rsidRPr="00C91441" w:rsidRDefault="0033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1,136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117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38.5%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106.0%</w:t>
            </w:r>
          </w:p>
        </w:tc>
        <w:tc>
          <w:tcPr>
            <w:tcW w:w="99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75.5%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35506" w:rsidRPr="002F289A" w:rsidTr="00C91441">
        <w:trPr>
          <w:trHeight w:val="288"/>
        </w:trPr>
        <w:tc>
          <w:tcPr>
            <w:tcW w:w="1440" w:type="dxa"/>
            <w:vAlign w:val="bottom"/>
          </w:tcPr>
          <w:p w:rsidR="00335506" w:rsidRPr="00C91441" w:rsidRDefault="0033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-14.1%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+1.7%</w:t>
            </w: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-15.5%</w:t>
            </w:r>
          </w:p>
        </w:tc>
        <w:tc>
          <w:tcPr>
            <w:tcW w:w="117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-1.7%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+5.1%</w:t>
            </w:r>
          </w:p>
        </w:tc>
        <w:tc>
          <w:tcPr>
            <w:tcW w:w="99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-2.1%</w:t>
            </w:r>
          </w:p>
        </w:tc>
        <w:tc>
          <w:tcPr>
            <w:tcW w:w="1080" w:type="dxa"/>
            <w:vAlign w:val="bottom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335506" w:rsidRPr="002F289A" w:rsidTr="00C91441">
        <w:trPr>
          <w:trHeight w:val="288"/>
        </w:trPr>
        <w:tc>
          <w:tcPr>
            <w:tcW w:w="1440" w:type="dxa"/>
            <w:vAlign w:val="bottom"/>
          </w:tcPr>
          <w:p w:rsidR="00335506" w:rsidRPr="00C91441" w:rsidRDefault="0033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335506" w:rsidRPr="00C91441" w:rsidRDefault="00335506">
            <w:pPr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1260" w:type="dxa"/>
            <w:vAlign w:val="center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decreasing</w:t>
            </w:r>
          </w:p>
        </w:tc>
        <w:tc>
          <w:tcPr>
            <w:tcW w:w="1080" w:type="dxa"/>
            <w:vAlign w:val="center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1260" w:type="dxa"/>
            <w:vAlign w:val="center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decreasing</w:t>
            </w:r>
          </w:p>
        </w:tc>
        <w:tc>
          <w:tcPr>
            <w:tcW w:w="1170" w:type="dxa"/>
            <w:vAlign w:val="center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1080" w:type="dxa"/>
            <w:vAlign w:val="center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990" w:type="dxa"/>
            <w:vAlign w:val="center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1080" w:type="dxa"/>
            <w:vAlign w:val="center"/>
          </w:tcPr>
          <w:p w:rsidR="00335506" w:rsidRPr="00C91441" w:rsidRDefault="0033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441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</w:t>
      </w:r>
      <w:bookmarkStart w:id="0" w:name="_GoBack"/>
      <w:bookmarkEnd w:id="0"/>
      <w:r w:rsidR="00AD62ED" w:rsidRPr="00EA1EAB">
        <w:rPr>
          <w:rFonts w:ascii="Arial" w:hAnsi="Arial"/>
          <w:sz w:val="20"/>
          <w:szCs w:val="20"/>
        </w:rPr>
        <w:t>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C91441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335506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35506" w:rsidRPr="00A675A1" w:rsidRDefault="00335506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35506" w:rsidRDefault="003355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335506" w:rsidRDefault="003355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35506" w:rsidRDefault="003355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73.7%</w:t>
            </w:r>
          </w:p>
        </w:tc>
      </w:tr>
      <w:tr w:rsidR="00335506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35506" w:rsidRPr="00A675A1" w:rsidRDefault="00335506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35506" w:rsidRDefault="003355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335506" w:rsidRDefault="003355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35506" w:rsidRDefault="003355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94.1%</w:t>
            </w:r>
          </w:p>
        </w:tc>
      </w:tr>
      <w:tr w:rsidR="00335506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35506" w:rsidRPr="00A675A1" w:rsidRDefault="00335506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35506" w:rsidRDefault="003355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335506" w:rsidRDefault="003355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35506" w:rsidRDefault="003355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+20.4%</w:t>
            </w:r>
          </w:p>
        </w:tc>
      </w:tr>
      <w:tr w:rsidR="00335506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35506" w:rsidRPr="00A675A1" w:rsidRDefault="00335506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35506" w:rsidRDefault="003355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335506" w:rsidRDefault="003355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5506" w:rsidRDefault="003355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335506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Credit ESL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C914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Credit ESL</w:t>
            </w: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91441" w:rsidRDefault="00C91441" w:rsidP="008533BA">
      <w:pPr>
        <w:tabs>
          <w:tab w:val="left" w:pos="540"/>
        </w:tabs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B3313E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</w:t>
                  </w:r>
                  <w:proofErr w:type="gramStart"/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:</w:t>
                  </w:r>
                  <w:r w:rsidR="00C91441">
                    <w:rPr>
                      <w:rFonts w:ascii="Arial" w:hAnsi="Arial" w:cs="Arial"/>
                      <w:b/>
                      <w:sz w:val="32"/>
                      <w:szCs w:val="32"/>
                    </w:rPr>
                    <w:t>ESL</w:t>
                  </w:r>
                  <w:proofErr w:type="gramEnd"/>
                  <w:r w:rsidR="00C91441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B3313E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3E" w:rsidRDefault="00B3313E">
      <w:r>
        <w:separator/>
      </w:r>
    </w:p>
  </w:endnote>
  <w:endnote w:type="continuationSeparator" w:id="0">
    <w:p w:rsidR="00B3313E" w:rsidRDefault="00B3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6B46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3E" w:rsidRDefault="00B3313E">
      <w:r>
        <w:separator/>
      </w:r>
    </w:p>
  </w:footnote>
  <w:footnote w:type="continuationSeparator" w:id="0">
    <w:p w:rsidR="00B3313E" w:rsidRDefault="00B33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5506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855F8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313E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91441"/>
    <w:rsid w:val="00CA0355"/>
    <w:rsid w:val="00CA7A38"/>
    <w:rsid w:val="00CC713B"/>
    <w:rsid w:val="00CC778B"/>
    <w:rsid w:val="00CD76E2"/>
    <w:rsid w:val="00CE3B0F"/>
    <w:rsid w:val="00CF59EC"/>
    <w:rsid w:val="00D06489"/>
    <w:rsid w:val="00D16B46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1B031F"/>
    <w:rsid w:val="001D5CE0"/>
    <w:rsid w:val="00344358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D0665E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BC83-D16B-49C7-8C41-929EB8E0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 Karpp</dc:creator>
  <cp:lastModifiedBy> Jill Lewis</cp:lastModifiedBy>
  <cp:revision>4</cp:revision>
  <cp:lastPrinted>2012-09-14T16:51:00Z</cp:lastPrinted>
  <dcterms:created xsi:type="dcterms:W3CDTF">2012-09-24T16:32:00Z</dcterms:created>
  <dcterms:modified xsi:type="dcterms:W3CDTF">2012-09-25T15:33:00Z</dcterms:modified>
</cp:coreProperties>
</file>